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4"/>
        <w:gridCol w:w="1275"/>
        <w:gridCol w:w="2123"/>
      </w:tblGrid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503A2D">
            <w:pPr>
              <w:pStyle w:val="Overskrift1"/>
            </w:pPr>
            <w:r>
              <w:t>LYNGBY-TAARBÆK KOMMUNE</w:t>
            </w:r>
          </w:p>
        </w:tc>
        <w:tc>
          <w:tcPr>
            <w:tcW w:w="3398" w:type="dxa"/>
            <w:gridSpan w:val="2"/>
          </w:tcPr>
          <w:p w:rsidR="00503A2D" w:rsidRDefault="00503A2D"/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CE793C">
            <w:pPr>
              <w:rPr>
                <w:b/>
              </w:rPr>
            </w:pPr>
            <w:bookmarkStart w:id="0" w:name="Forvaltning"/>
            <w:bookmarkEnd w:id="0"/>
            <w:r>
              <w:rPr>
                <w:b/>
              </w:rPr>
              <w:t>Center for Arealer og Ejendomme</w:t>
            </w:r>
          </w:p>
        </w:tc>
        <w:tc>
          <w:tcPr>
            <w:tcW w:w="3398" w:type="dxa"/>
            <w:gridSpan w:val="2"/>
          </w:tcPr>
          <w:p w:rsidR="00503A2D" w:rsidRDefault="00503A2D"/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CE793C">
            <w:pPr>
              <w:rPr>
                <w:b/>
              </w:rPr>
            </w:pPr>
            <w:bookmarkStart w:id="1" w:name="Afdeling"/>
            <w:bookmarkEnd w:id="1"/>
            <w:r>
              <w:rPr>
                <w:b/>
              </w:rPr>
              <w:t>Bygningsdriften</w:t>
            </w:r>
          </w:p>
        </w:tc>
        <w:tc>
          <w:tcPr>
            <w:tcW w:w="1275" w:type="dxa"/>
          </w:tcPr>
          <w:p w:rsidR="00503A2D" w:rsidRDefault="00503A2D">
            <w:pPr>
              <w:tabs>
                <w:tab w:val="left" w:leader="dot" w:pos="1064"/>
              </w:tabs>
            </w:pPr>
            <w:r>
              <w:t xml:space="preserve">Journalnr. </w:t>
            </w:r>
            <w:r>
              <w:tab/>
              <w:t>:</w:t>
            </w:r>
          </w:p>
        </w:tc>
        <w:tc>
          <w:tcPr>
            <w:tcW w:w="2123" w:type="dxa"/>
          </w:tcPr>
          <w:p w:rsidR="00503A2D" w:rsidRDefault="00503A2D">
            <w:bookmarkStart w:id="2" w:name="Journal"/>
            <w:bookmarkEnd w:id="2"/>
          </w:p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B87433">
            <w:pPr>
              <w:rPr>
                <w:b/>
              </w:rPr>
            </w:pPr>
            <w:bookmarkStart w:id="3" w:name="Afsnit"/>
            <w:bookmarkEnd w:id="3"/>
            <w:r>
              <w:rPr>
                <w:b/>
              </w:rPr>
              <w:t>Energigruppen</w:t>
            </w:r>
          </w:p>
        </w:tc>
        <w:tc>
          <w:tcPr>
            <w:tcW w:w="1275" w:type="dxa"/>
          </w:tcPr>
          <w:p w:rsidR="00503A2D" w:rsidRDefault="00503A2D">
            <w:pPr>
              <w:tabs>
                <w:tab w:val="left" w:leader="dot" w:pos="1064"/>
              </w:tabs>
            </w:pPr>
            <w:r>
              <w:t xml:space="preserve">Dato </w:t>
            </w:r>
            <w:r>
              <w:tab/>
              <w:t>:</w:t>
            </w:r>
          </w:p>
        </w:tc>
        <w:tc>
          <w:tcPr>
            <w:tcW w:w="2123" w:type="dxa"/>
          </w:tcPr>
          <w:p w:rsidR="00503A2D" w:rsidRDefault="00CE793C">
            <w:bookmarkStart w:id="4" w:name="Dato"/>
            <w:bookmarkEnd w:id="4"/>
            <w:proofErr w:type="gramStart"/>
            <w:r>
              <w:t>03</w:t>
            </w:r>
            <w:r w:rsidR="00B87433">
              <w:t>.0</w:t>
            </w:r>
            <w:r w:rsidR="005C6E10">
              <w:t>5</w:t>
            </w:r>
            <w:r w:rsidR="00B87433">
              <w:t>.20</w:t>
            </w:r>
            <w:r w:rsidR="00C73D48">
              <w:t>1</w:t>
            </w:r>
            <w:r>
              <w:t>3</w:t>
            </w:r>
            <w:proofErr w:type="gramEnd"/>
          </w:p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503A2D"/>
        </w:tc>
        <w:tc>
          <w:tcPr>
            <w:tcW w:w="1275" w:type="dxa"/>
          </w:tcPr>
          <w:p w:rsidR="00503A2D" w:rsidRDefault="00503A2D">
            <w:pPr>
              <w:tabs>
                <w:tab w:val="left" w:leader="dot" w:pos="1064"/>
              </w:tabs>
            </w:pPr>
            <w:r>
              <w:t xml:space="preserve">Skrevet af </w:t>
            </w:r>
            <w:r>
              <w:tab/>
              <w:t>:</w:t>
            </w:r>
          </w:p>
        </w:tc>
        <w:tc>
          <w:tcPr>
            <w:tcW w:w="2123" w:type="dxa"/>
          </w:tcPr>
          <w:p w:rsidR="00503A2D" w:rsidRDefault="00A92CF7">
            <w:bookmarkStart w:id="5" w:name="Reference"/>
            <w:bookmarkEnd w:id="5"/>
            <w:r>
              <w:t>H</w:t>
            </w:r>
            <w:r w:rsidR="00B87433">
              <w:t>eg /3545</w:t>
            </w:r>
          </w:p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503A2D"/>
        </w:tc>
        <w:tc>
          <w:tcPr>
            <w:tcW w:w="3398" w:type="dxa"/>
            <w:gridSpan w:val="2"/>
          </w:tcPr>
          <w:p w:rsidR="00503A2D" w:rsidRDefault="00503A2D"/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503A2D"/>
        </w:tc>
        <w:tc>
          <w:tcPr>
            <w:tcW w:w="3398" w:type="dxa"/>
            <w:gridSpan w:val="2"/>
          </w:tcPr>
          <w:p w:rsidR="00503A2D" w:rsidRDefault="00503A2D"/>
        </w:tc>
      </w:tr>
      <w:tr w:rsidR="00503A2D">
        <w:tblPrEx>
          <w:tblCellMar>
            <w:top w:w="0" w:type="dxa"/>
            <w:bottom w:w="0" w:type="dxa"/>
          </w:tblCellMar>
        </w:tblPrEx>
        <w:tc>
          <w:tcPr>
            <w:tcW w:w="7514" w:type="dxa"/>
          </w:tcPr>
          <w:p w:rsidR="00503A2D" w:rsidRDefault="00503A2D"/>
        </w:tc>
        <w:tc>
          <w:tcPr>
            <w:tcW w:w="3398" w:type="dxa"/>
            <w:gridSpan w:val="2"/>
          </w:tcPr>
          <w:p w:rsidR="00503A2D" w:rsidRDefault="00503A2D"/>
        </w:tc>
      </w:tr>
      <w:tr w:rsidR="00503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3"/>
          </w:tcPr>
          <w:p w:rsidR="00503A2D" w:rsidRDefault="00503A2D">
            <w:pPr>
              <w:jc w:val="center"/>
            </w:pPr>
            <w:r>
              <w:t>N O T A T</w:t>
            </w:r>
          </w:p>
        </w:tc>
      </w:tr>
      <w:tr w:rsidR="00503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3"/>
          </w:tcPr>
          <w:p w:rsidR="00503A2D" w:rsidRDefault="001C0E56">
            <w:pPr>
              <w:jc w:val="center"/>
            </w:pPr>
            <w:r>
              <w:t>O</w:t>
            </w:r>
            <w:r w:rsidR="00503A2D">
              <w:t>m</w:t>
            </w:r>
          </w:p>
        </w:tc>
      </w:tr>
      <w:tr w:rsidR="00503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3"/>
            <w:tcBorders>
              <w:bottom w:val="single" w:sz="4" w:space="0" w:color="auto"/>
            </w:tcBorders>
          </w:tcPr>
          <w:p w:rsidR="00503A2D" w:rsidRDefault="00B87433">
            <w:pPr>
              <w:jc w:val="center"/>
            </w:pPr>
            <w:bookmarkStart w:id="6" w:name="Vedrørende"/>
            <w:bookmarkEnd w:id="6"/>
            <w:r>
              <w:t xml:space="preserve">Klimakommuneaftale </w:t>
            </w:r>
            <w:r w:rsidR="00A92CF7">
              <w:t>–</w:t>
            </w:r>
            <w:r>
              <w:t xml:space="preserve"> </w:t>
            </w:r>
            <w:r w:rsidR="00A92CF7">
              <w:t>CO</w:t>
            </w:r>
            <w:r w:rsidR="00A92CF7" w:rsidRPr="00145200">
              <w:rPr>
                <w:szCs w:val="24"/>
                <w:vertAlign w:val="subscript"/>
              </w:rPr>
              <w:t>2</w:t>
            </w:r>
            <w:r w:rsidR="00A92CF7">
              <w:t>-h</w:t>
            </w:r>
            <w:r>
              <w:t>andlingsplan for 20</w:t>
            </w:r>
            <w:r w:rsidR="00C73D48">
              <w:t>1</w:t>
            </w:r>
            <w:r w:rsidR="00CE793C">
              <w:t>3</w:t>
            </w:r>
            <w:r>
              <w:t>.</w:t>
            </w:r>
          </w:p>
        </w:tc>
      </w:tr>
      <w:tr w:rsidR="00503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3"/>
          </w:tcPr>
          <w:p w:rsidR="00503A2D" w:rsidRDefault="00503A2D">
            <w:pPr>
              <w:jc w:val="center"/>
            </w:pPr>
          </w:p>
        </w:tc>
      </w:tr>
    </w:tbl>
    <w:p w:rsidR="00503A2D" w:rsidRDefault="00B87433">
      <w:pPr>
        <w:pStyle w:val="Sidehoved"/>
        <w:tabs>
          <w:tab w:val="clear" w:pos="4819"/>
          <w:tab w:val="clear" w:pos="9638"/>
        </w:tabs>
        <w:sectPr w:rsidR="00503A2D" w:rsidSect="00E34147">
          <w:footerReference w:type="even" r:id="rId6"/>
          <w:footerReference w:type="default" r:id="rId7"/>
          <w:footerReference w:type="first" r:id="rId8"/>
          <w:type w:val="continuous"/>
          <w:pgSz w:w="11906" w:h="16838" w:code="9"/>
          <w:pgMar w:top="567" w:right="1418" w:bottom="1701" w:left="1418" w:header="708" w:footer="449" w:gutter="0"/>
          <w:cols w:space="708"/>
          <w:titlePg/>
        </w:sectPr>
      </w:pPr>
      <w:r>
        <w:t>I klimakommuneaftalen, som Lyngby-Taarbæk Kommune har indgået med Danmarks Natu</w:t>
      </w:r>
      <w:r>
        <w:t>r</w:t>
      </w:r>
      <w:r>
        <w:t>fredningsforening, skal der udarbejdes en han</w:t>
      </w:r>
      <w:r>
        <w:t>d</w:t>
      </w:r>
      <w:r>
        <w:t>lingsplan for</w:t>
      </w:r>
      <w:r w:rsidR="00382BD1">
        <w:t>,</w:t>
      </w:r>
      <w:r>
        <w:t xml:space="preserve"> hvordan man har tænk</w:t>
      </w:r>
      <w:r w:rsidR="00487927">
        <w:t>t</w:t>
      </w:r>
      <w:r>
        <w:t xml:space="preserve"> sig at opnå den aftalte CO</w:t>
      </w:r>
      <w:r w:rsidRPr="00B87433">
        <w:rPr>
          <w:szCs w:val="24"/>
          <w:vertAlign w:val="subscript"/>
        </w:rPr>
        <w:t>2</w:t>
      </w:r>
      <w:r>
        <w:t xml:space="preserve"> redu</w:t>
      </w:r>
      <w:r>
        <w:t>k</w:t>
      </w:r>
      <w:r w:rsidR="00711236">
        <w:t>tion på 2 % i 20</w:t>
      </w:r>
      <w:r w:rsidR="00C73D48">
        <w:t>1</w:t>
      </w:r>
      <w:r w:rsidR="00CE793C">
        <w:t>3</w:t>
      </w:r>
      <w:r w:rsidR="00711236">
        <w:t>.</w:t>
      </w:r>
    </w:p>
    <w:p w:rsidR="00B87433" w:rsidRDefault="00B87433"/>
    <w:p w:rsidR="00145200" w:rsidRDefault="00B87433" w:rsidP="00145200">
      <w:r>
        <w:t xml:space="preserve">De fleste tiltag udspringer </w:t>
      </w:r>
      <w:r w:rsidR="00487927">
        <w:t>af</w:t>
      </w:r>
      <w:r>
        <w:t xml:space="preserve"> kommunens energiprojekt og finansie</w:t>
      </w:r>
      <w:r w:rsidR="00145200">
        <w:t>res</w:t>
      </w:r>
      <w:r w:rsidR="00C73D48">
        <w:t xml:space="preserve"> både</w:t>
      </w:r>
      <w:r w:rsidR="00145200">
        <w:t xml:space="preserve"> af energipuljen</w:t>
      </w:r>
      <w:r w:rsidR="00C73D48">
        <w:t xml:space="preserve"> og en klimainvesteringspulje</w:t>
      </w:r>
      <w:r w:rsidR="00145200">
        <w:t xml:space="preserve">. </w:t>
      </w:r>
      <w:r w:rsidR="00CE793C">
        <w:t>Vi</w:t>
      </w:r>
      <w:r w:rsidR="00960187">
        <w:t xml:space="preserve"> har udført</w:t>
      </w:r>
      <w:r w:rsidR="00145200">
        <w:t xml:space="preserve"> energ</w:t>
      </w:r>
      <w:r w:rsidR="00145200">
        <w:t>i</w:t>
      </w:r>
      <w:r w:rsidR="00145200">
        <w:t>mærkning af alle kommunens bygninger. De i energimærket for</w:t>
      </w:r>
      <w:r w:rsidR="00A92CF7">
        <w:t>e</w:t>
      </w:r>
      <w:r w:rsidR="00145200">
        <w:t xml:space="preserve">slåede energitiltag, der har en tilbagebetalingstid på under 5 år, </w:t>
      </w:r>
      <w:r w:rsidR="008F3911">
        <w:t xml:space="preserve">og som </w:t>
      </w:r>
      <w:r w:rsidR="00145200">
        <w:t>skal udføres inden 5 år fra udførelsen af energimærket</w:t>
      </w:r>
      <w:r w:rsidR="008F3911">
        <w:t>,</w:t>
      </w:r>
      <w:r w:rsidR="00CE793C">
        <w:t xml:space="preserve"> er stort set udført. Vi har hævet grænsen, så vi udfører energitiltag</w:t>
      </w:r>
      <w:r w:rsidR="008F3911">
        <w:t>,</w:t>
      </w:r>
      <w:r w:rsidR="00CE793C">
        <w:t xml:space="preserve"> der har en tilbagebet</w:t>
      </w:r>
      <w:r w:rsidR="00CE793C">
        <w:t>a</w:t>
      </w:r>
      <w:r w:rsidR="00CE793C">
        <w:t>lingstid op til 10 år</w:t>
      </w:r>
      <w:r w:rsidR="00145200">
        <w:t xml:space="preserve">. </w:t>
      </w:r>
      <w:r w:rsidR="00487927">
        <w:t>Alle</w:t>
      </w:r>
      <w:r w:rsidR="00145200">
        <w:t xml:space="preserve"> de </w:t>
      </w:r>
      <w:r w:rsidR="00487927">
        <w:t>energi</w:t>
      </w:r>
      <w:r w:rsidR="00145200">
        <w:t>tiltag</w:t>
      </w:r>
      <w:r w:rsidR="00A92CF7">
        <w:t>,</w:t>
      </w:r>
      <w:r w:rsidR="00145200">
        <w:t xml:space="preserve"> der bliver udført</w:t>
      </w:r>
      <w:r w:rsidR="00487927">
        <w:t>,</w:t>
      </w:r>
      <w:r w:rsidR="00145200">
        <w:t xml:space="preserve"> </w:t>
      </w:r>
      <w:r w:rsidR="00487927">
        <w:t>giver en</w:t>
      </w:r>
      <w:r w:rsidR="00145200">
        <w:t xml:space="preserve"> CO</w:t>
      </w:r>
      <w:r w:rsidR="00145200" w:rsidRPr="00145200">
        <w:rPr>
          <w:szCs w:val="24"/>
          <w:vertAlign w:val="subscript"/>
        </w:rPr>
        <w:t>2</w:t>
      </w:r>
      <w:r w:rsidR="0054744B">
        <w:t>-</w:t>
      </w:r>
      <w:r w:rsidR="00145200">
        <w:t>reduktion. I listen nedenunder er de største tilta</w:t>
      </w:r>
      <w:r w:rsidR="00A92CF7">
        <w:t>g</w:t>
      </w:r>
      <w:r w:rsidR="00145200">
        <w:t xml:space="preserve"> </w:t>
      </w:r>
      <w:r w:rsidR="00487927">
        <w:t>a</w:t>
      </w:r>
      <w:r w:rsidR="00487927">
        <w:t>n</w:t>
      </w:r>
      <w:r w:rsidR="00487927">
        <w:t>givet</w:t>
      </w:r>
      <w:r w:rsidR="00145200">
        <w:t xml:space="preserve">. </w:t>
      </w:r>
    </w:p>
    <w:p w:rsidR="00145200" w:rsidRDefault="00145200"/>
    <w:p w:rsidR="00145200" w:rsidRDefault="00487927">
      <w:r>
        <w:t>Tiltag i</w:t>
      </w:r>
      <w:r w:rsidR="00145200">
        <w:t xml:space="preserve"> forbindelse med </w:t>
      </w:r>
      <w:r w:rsidR="00B87433">
        <w:t>bygningsvedligeholdelsen</w:t>
      </w:r>
      <w:r w:rsidR="005C6E10">
        <w:t>,</w:t>
      </w:r>
      <w:r w:rsidR="00B87433">
        <w:t xml:space="preserve"> og </w:t>
      </w:r>
      <w:r w:rsidR="00145200">
        <w:t>ved udskiftning af pumper m.m. inden for kloakvæsenet og vandforsyningen</w:t>
      </w:r>
      <w:r w:rsidR="005C6E10">
        <w:t>,</w:t>
      </w:r>
      <w:r w:rsidR="00145200">
        <w:t xml:space="preserve"> sker på en energieffektiv måde</w:t>
      </w:r>
      <w:r w:rsidR="005C6E10">
        <w:t>,</w:t>
      </w:r>
      <w:r w:rsidR="00145200">
        <w:t xml:space="preserve"> under hensyntagen til inv</w:t>
      </w:r>
      <w:r w:rsidR="00145200">
        <w:t>e</w:t>
      </w:r>
      <w:r w:rsidR="00145200">
        <w:t>steringer og drift</w:t>
      </w:r>
      <w:r w:rsidR="00A92CF7">
        <w:t>s</w:t>
      </w:r>
      <w:r w:rsidR="00145200">
        <w:t>omkostninger.</w:t>
      </w:r>
    </w:p>
    <w:p w:rsidR="00AB0726" w:rsidRDefault="00AB0726"/>
    <w:p w:rsidR="005A1DD0" w:rsidRDefault="00AB0726">
      <w:r>
        <w:t>Planlagte CO</w:t>
      </w:r>
      <w:r w:rsidRPr="00AB0726">
        <w:rPr>
          <w:szCs w:val="24"/>
          <w:vertAlign w:val="subscript"/>
        </w:rPr>
        <w:t>2</w:t>
      </w:r>
      <w:r w:rsidR="00CB62EE" w:rsidRPr="00CB62EE">
        <w:rPr>
          <w:szCs w:val="24"/>
        </w:rPr>
        <w:t>-</w:t>
      </w:r>
      <w:r>
        <w:t>reducerende arbejder</w:t>
      </w:r>
      <w:r w:rsidR="00734DDF">
        <w:t xml:space="preserve"> </w:t>
      </w:r>
      <w:r>
        <w:t>i 20</w:t>
      </w:r>
      <w:r w:rsidR="00C73D48">
        <w:t>1</w:t>
      </w:r>
      <w:r w:rsidR="00CE793C">
        <w:t>3</w:t>
      </w:r>
      <w:r>
        <w:t>:</w:t>
      </w:r>
      <w:r w:rsidR="00B87433">
        <w:t xml:space="preserve"> </w:t>
      </w:r>
    </w:p>
    <w:p w:rsidR="002F55BE" w:rsidRDefault="002F55BE"/>
    <w:tbl>
      <w:tblPr>
        <w:tblStyle w:val="Tabel-Gitter"/>
        <w:tblW w:w="0" w:type="auto"/>
        <w:tblLook w:val="01E0"/>
      </w:tblPr>
      <w:tblGrid>
        <w:gridCol w:w="2943"/>
        <w:gridCol w:w="6267"/>
      </w:tblGrid>
      <w:tr w:rsidR="002F55BE">
        <w:tc>
          <w:tcPr>
            <w:tcW w:w="2943" w:type="dxa"/>
          </w:tcPr>
          <w:p w:rsidR="002F55BE" w:rsidRDefault="002F55BE">
            <w:r>
              <w:t>Sted</w:t>
            </w:r>
          </w:p>
        </w:tc>
        <w:tc>
          <w:tcPr>
            <w:tcW w:w="6267" w:type="dxa"/>
          </w:tcPr>
          <w:p w:rsidR="002F55BE" w:rsidRDefault="002F55BE">
            <w:r>
              <w:t>Arbejder</w:t>
            </w:r>
          </w:p>
        </w:tc>
      </w:tr>
      <w:tr w:rsidR="004850BF">
        <w:tc>
          <w:tcPr>
            <w:tcW w:w="2943" w:type="dxa"/>
          </w:tcPr>
          <w:p w:rsidR="004850BF" w:rsidRDefault="00CE793C">
            <w:proofErr w:type="gramStart"/>
            <w:r>
              <w:t>Engelsborgskolen  byg</w:t>
            </w:r>
            <w:proofErr w:type="gramEnd"/>
            <w:r>
              <w:t>. C-E</w:t>
            </w:r>
          </w:p>
        </w:tc>
        <w:tc>
          <w:tcPr>
            <w:tcW w:w="6267" w:type="dxa"/>
          </w:tcPr>
          <w:p w:rsidR="004850BF" w:rsidRDefault="00CE793C">
            <w:r>
              <w:t>Montering af fortsatsrammer med 2-lags energiruder</w:t>
            </w:r>
          </w:p>
        </w:tc>
      </w:tr>
      <w:tr w:rsidR="004850BF">
        <w:tc>
          <w:tcPr>
            <w:tcW w:w="2943" w:type="dxa"/>
          </w:tcPr>
          <w:p w:rsidR="004850BF" w:rsidRDefault="00FB7EF7">
            <w:r>
              <w:t>Taarbæk Skole</w:t>
            </w:r>
          </w:p>
        </w:tc>
        <w:tc>
          <w:tcPr>
            <w:tcW w:w="6267" w:type="dxa"/>
          </w:tcPr>
          <w:p w:rsidR="004850BF" w:rsidRDefault="00FB7EF7">
            <w:r>
              <w:t>Montering af fortsatsrammer med 2-lags energiruder</w:t>
            </w:r>
          </w:p>
        </w:tc>
      </w:tr>
      <w:tr w:rsidR="00CD4F54">
        <w:tc>
          <w:tcPr>
            <w:tcW w:w="2943" w:type="dxa"/>
          </w:tcPr>
          <w:p w:rsidR="00CD4F54" w:rsidRDefault="00FB7EF7">
            <w:r>
              <w:t>Trongårdsskolen</w:t>
            </w:r>
          </w:p>
        </w:tc>
        <w:tc>
          <w:tcPr>
            <w:tcW w:w="6267" w:type="dxa"/>
          </w:tcPr>
          <w:p w:rsidR="00CD4F54" w:rsidRDefault="00FB7EF7">
            <w:r>
              <w:t>Isolering af lofterne over gymnastiksalene</w:t>
            </w:r>
          </w:p>
        </w:tc>
      </w:tr>
      <w:tr w:rsidR="00664AD7">
        <w:tc>
          <w:tcPr>
            <w:tcW w:w="2943" w:type="dxa"/>
          </w:tcPr>
          <w:p w:rsidR="00664AD7" w:rsidRDefault="00FB7EF7">
            <w:r>
              <w:t>Trongårdsskolen</w:t>
            </w:r>
          </w:p>
        </w:tc>
        <w:tc>
          <w:tcPr>
            <w:tcW w:w="6267" w:type="dxa"/>
          </w:tcPr>
          <w:p w:rsidR="00664AD7" w:rsidRDefault="00FB7EF7">
            <w:r>
              <w:t>Tætning og udskiftning af vinduesglas med energ</w:t>
            </w:r>
            <w:r>
              <w:t>i</w:t>
            </w:r>
            <w:r>
              <w:t>ruder</w:t>
            </w:r>
          </w:p>
        </w:tc>
      </w:tr>
      <w:tr w:rsidR="002F55BE">
        <w:tc>
          <w:tcPr>
            <w:tcW w:w="2943" w:type="dxa"/>
          </w:tcPr>
          <w:p w:rsidR="002F55BE" w:rsidRDefault="00FB7EF7">
            <w:r>
              <w:t>Lyngby Svømmehal</w:t>
            </w:r>
          </w:p>
        </w:tc>
        <w:tc>
          <w:tcPr>
            <w:tcW w:w="6267" w:type="dxa"/>
          </w:tcPr>
          <w:p w:rsidR="00104B1C" w:rsidRDefault="00FB7EF7">
            <w:r>
              <w:t>Udskiftning af termoruder til 3-lags energiruder</w:t>
            </w:r>
          </w:p>
        </w:tc>
      </w:tr>
      <w:tr w:rsidR="00114DBA">
        <w:tc>
          <w:tcPr>
            <w:tcW w:w="2943" w:type="dxa"/>
          </w:tcPr>
          <w:p w:rsidR="00114DBA" w:rsidRDefault="00114DBA" w:rsidP="00A14DB8">
            <w:r>
              <w:t>Lyngby Svømmehal</w:t>
            </w:r>
          </w:p>
        </w:tc>
        <w:tc>
          <w:tcPr>
            <w:tcW w:w="6267" w:type="dxa"/>
          </w:tcPr>
          <w:p w:rsidR="00114DBA" w:rsidRDefault="00114DBA">
            <w:r>
              <w:t>Installering af varmegenvindingsanlæg på afløbsvandet fra br</w:t>
            </w:r>
            <w:r>
              <w:t>u</w:t>
            </w:r>
            <w:r>
              <w:t>serne i omklædningsrummet.</w:t>
            </w:r>
          </w:p>
        </w:tc>
      </w:tr>
      <w:tr w:rsidR="00114DBA">
        <w:tc>
          <w:tcPr>
            <w:tcW w:w="2943" w:type="dxa"/>
          </w:tcPr>
          <w:p w:rsidR="00114DBA" w:rsidRDefault="00114DBA" w:rsidP="00A14DB8">
            <w:r>
              <w:t>Virum Skole</w:t>
            </w:r>
          </w:p>
        </w:tc>
        <w:tc>
          <w:tcPr>
            <w:tcW w:w="6267" w:type="dxa"/>
          </w:tcPr>
          <w:p w:rsidR="00114DBA" w:rsidRDefault="00114DBA" w:rsidP="00A14DB8">
            <w:r>
              <w:t>Renovering af belysning med LED</w:t>
            </w:r>
          </w:p>
        </w:tc>
      </w:tr>
      <w:tr w:rsidR="00114DBA">
        <w:tc>
          <w:tcPr>
            <w:tcW w:w="2943" w:type="dxa"/>
          </w:tcPr>
          <w:p w:rsidR="00114DBA" w:rsidRDefault="00114DBA" w:rsidP="00A14DB8">
            <w:r>
              <w:t>Virum Skole</w:t>
            </w:r>
          </w:p>
        </w:tc>
        <w:tc>
          <w:tcPr>
            <w:tcW w:w="6267" w:type="dxa"/>
          </w:tcPr>
          <w:p w:rsidR="00114DBA" w:rsidRDefault="00114DBA" w:rsidP="00A14DB8">
            <w:r>
              <w:t>Renovering af ventilation til mediatek, sanglokalet, tandklinik</w:t>
            </w:r>
          </w:p>
        </w:tc>
      </w:tr>
      <w:tr w:rsidR="00114DBA">
        <w:tc>
          <w:tcPr>
            <w:tcW w:w="2943" w:type="dxa"/>
          </w:tcPr>
          <w:p w:rsidR="00114DBA" w:rsidRDefault="00114DBA" w:rsidP="005B1979">
            <w:r>
              <w:t>Genoptræningscentret</w:t>
            </w:r>
          </w:p>
        </w:tc>
        <w:tc>
          <w:tcPr>
            <w:tcW w:w="6267" w:type="dxa"/>
          </w:tcPr>
          <w:p w:rsidR="00114DBA" w:rsidRDefault="00114DBA" w:rsidP="005B1979">
            <w:r>
              <w:t>Udskiftning af ventilation</w:t>
            </w:r>
          </w:p>
        </w:tc>
      </w:tr>
      <w:tr w:rsidR="00114DBA" w:rsidTr="005B1979">
        <w:tc>
          <w:tcPr>
            <w:tcW w:w="2943" w:type="dxa"/>
          </w:tcPr>
          <w:p w:rsidR="00114DBA" w:rsidRDefault="00114DBA" w:rsidP="00A14DB8">
            <w:r>
              <w:t>Vejbelysning</w:t>
            </w:r>
          </w:p>
        </w:tc>
        <w:tc>
          <w:tcPr>
            <w:tcW w:w="6267" w:type="dxa"/>
          </w:tcPr>
          <w:p w:rsidR="00114DBA" w:rsidRDefault="00114DBA" w:rsidP="00A14DB8">
            <w:r>
              <w:t>Renoveringen af vejbelysningen fortsætter. Nye ar</w:t>
            </w:r>
            <w:r>
              <w:lastRenderedPageBreak/>
              <w:t>maturer bl</w:t>
            </w:r>
            <w:r>
              <w:t>i</w:t>
            </w:r>
            <w:r>
              <w:t xml:space="preserve">ver med LED </w:t>
            </w:r>
          </w:p>
        </w:tc>
      </w:tr>
      <w:tr w:rsidR="00114DBA" w:rsidTr="005B1979">
        <w:tc>
          <w:tcPr>
            <w:tcW w:w="2943" w:type="dxa"/>
          </w:tcPr>
          <w:p w:rsidR="00114DBA" w:rsidRDefault="00114DBA" w:rsidP="00A14DB8">
            <w:r>
              <w:lastRenderedPageBreak/>
              <w:t>Generelt udføres deru</w:t>
            </w:r>
            <w:r>
              <w:t>d</w:t>
            </w:r>
            <w:r>
              <w:t>over</w:t>
            </w:r>
          </w:p>
        </w:tc>
        <w:tc>
          <w:tcPr>
            <w:tcW w:w="6267" w:type="dxa"/>
          </w:tcPr>
          <w:p w:rsidR="00114DBA" w:rsidRDefault="00114DBA" w:rsidP="00A14DB8">
            <w:r>
              <w:t>Energitiltag for ca. 3,0 mio. kr.</w:t>
            </w:r>
          </w:p>
        </w:tc>
      </w:tr>
    </w:tbl>
    <w:p w:rsidR="00783868" w:rsidRDefault="00783868"/>
    <w:p w:rsidR="00734DDF" w:rsidRDefault="004D2017">
      <w:r>
        <w:t>Da vil ikke endnu har udvalgt all</w:t>
      </w:r>
      <w:r w:rsidR="002759FA">
        <w:t>e</w:t>
      </w:r>
      <w:r>
        <w:t xml:space="preserve"> de energibesparende foranstaltninger</w:t>
      </w:r>
      <w:r w:rsidR="002759FA">
        <w:t>, vi vil foretage i 201</w:t>
      </w:r>
      <w:r w:rsidR="00114DBA">
        <w:t>3</w:t>
      </w:r>
      <w:r w:rsidR="002759FA">
        <w:t>,</w:t>
      </w:r>
      <w:r>
        <w:t xml:space="preserve"> kan vi ikke </w:t>
      </w:r>
      <w:r w:rsidR="002759FA">
        <w:t>vurdere</w:t>
      </w:r>
      <w:r>
        <w:t xml:space="preserve">, hvad vi </w:t>
      </w:r>
      <w:r w:rsidR="002759FA">
        <w:t xml:space="preserve">således </w:t>
      </w:r>
      <w:r>
        <w:t xml:space="preserve">forventer at spare i </w:t>
      </w:r>
      <w:r w:rsidR="001C0E56">
        <w:t>CO</w:t>
      </w:r>
      <w:r w:rsidR="001C0E56" w:rsidRPr="001C0E56">
        <w:rPr>
          <w:szCs w:val="24"/>
          <w:vertAlign w:val="subscript"/>
        </w:rPr>
        <w:t>2</w:t>
      </w:r>
      <w:r w:rsidR="001C0E56">
        <w:t xml:space="preserve"> </w:t>
      </w:r>
      <w:r>
        <w:t>i 201</w:t>
      </w:r>
      <w:r w:rsidR="00114DBA">
        <w:t>3</w:t>
      </w:r>
      <w:r>
        <w:t>.</w:t>
      </w:r>
    </w:p>
    <w:p w:rsidR="00734DDF" w:rsidRDefault="00734DDF"/>
    <w:p w:rsidR="00382BD1" w:rsidRDefault="001C0E56">
      <w:r>
        <w:t>Derudover kommer der også besparelser ved energirigtig</w:t>
      </w:r>
      <w:r w:rsidR="00487927">
        <w:t>t</w:t>
      </w:r>
      <w:r>
        <w:t xml:space="preserve"> indkøb</w:t>
      </w:r>
      <w:r w:rsidR="002759FA">
        <w:t>,</w:t>
      </w:r>
      <w:r w:rsidR="000D07ED">
        <w:t xml:space="preserve"> og</w:t>
      </w:r>
      <w:r>
        <w:t xml:space="preserve"> </w:t>
      </w:r>
      <w:r w:rsidR="00A33B3C">
        <w:t xml:space="preserve">ved </w:t>
      </w:r>
      <w:r w:rsidR="002A69F0">
        <w:t>en</w:t>
      </w:r>
      <w:r>
        <w:t xml:space="preserve"> ekstra </w:t>
      </w:r>
      <w:r w:rsidR="00D504DB">
        <w:t>fokus på</w:t>
      </w:r>
      <w:r>
        <w:t xml:space="preserve"> energistyringen</w:t>
      </w:r>
      <w:r w:rsidR="00D504DB">
        <w:t xml:space="preserve">, </w:t>
      </w:r>
      <w:r w:rsidR="002759FA">
        <w:t>med henblik på</w:t>
      </w:r>
      <w:r w:rsidR="00D504DB">
        <w:t xml:space="preserve"> at finde eventuelle stigende forbrug</w:t>
      </w:r>
      <w:r w:rsidR="004D2017">
        <w:t>,</w:t>
      </w:r>
      <w:r w:rsidR="00D504DB">
        <w:t xml:space="preserve"> overforbrug</w:t>
      </w:r>
      <w:r w:rsidR="004D2017">
        <w:t xml:space="preserve"> og </w:t>
      </w:r>
      <w:r w:rsidR="002759FA">
        <w:t xml:space="preserve">at </w:t>
      </w:r>
      <w:r w:rsidR="004D2017">
        <w:t>begrænse drift</w:t>
      </w:r>
      <w:r w:rsidR="002759FA">
        <w:t>st</w:t>
      </w:r>
      <w:r w:rsidR="004D2017">
        <w:t>i</w:t>
      </w:r>
      <w:r w:rsidR="004D2017">
        <w:t>derne på de tekniske anlæg</w:t>
      </w:r>
      <w:r w:rsidR="00D504DB">
        <w:t>.</w:t>
      </w:r>
    </w:p>
    <w:p w:rsidR="00114DBA" w:rsidRDefault="00114DBA"/>
    <w:p w:rsidR="00091C90" w:rsidRDefault="00091C90" w:rsidP="00091C90">
      <w:pPr>
        <w:jc w:val="center"/>
      </w:pPr>
    </w:p>
    <w:sectPr w:rsidR="00091C90">
      <w:type w:val="continuous"/>
      <w:pgSz w:w="11906" w:h="16838" w:code="9"/>
      <w:pgMar w:top="1701" w:right="1418" w:bottom="1701" w:left="1418" w:header="708" w:footer="4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98" w:rsidRDefault="002F4198">
      <w:r>
        <w:separator/>
      </w:r>
    </w:p>
  </w:endnote>
  <w:endnote w:type="continuationSeparator" w:id="0">
    <w:p w:rsidR="002F4198" w:rsidRDefault="002F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D" w:rsidRDefault="00777AAD" w:rsidP="00E13B1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77AAD" w:rsidRDefault="00777AAD" w:rsidP="00E3414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D" w:rsidRDefault="00777AAD" w:rsidP="00E13B1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777AAD" w:rsidRDefault="00777AAD" w:rsidP="00E34147">
    <w:pPr>
      <w:pStyle w:val="Sidefod"/>
      <w:ind w:right="360"/>
    </w:pPr>
  </w:p>
  <w:p w:rsidR="00777AAD" w:rsidRDefault="00777AAD">
    <w:pPr>
      <w:pStyle w:val="Sidefod"/>
      <w:tabs>
        <w:tab w:val="clear" w:pos="4819"/>
        <w:tab w:val="clear" w:pos="9638"/>
        <w:tab w:val="right" w:pos="9072"/>
      </w:tabs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U:\teknik\tfbygn\Drift &amp; Energi &amp; Projekt\Energi\Heg\Energi 2012\LTK - Klimahandlingsplan 2013.doc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proofErr w:type="gramStart"/>
    <w:r>
      <w:rPr>
        <w:snapToGrid w:val="0"/>
        <w:sz w:val="16"/>
      </w:rPr>
      <w:t>Side  af</w:t>
    </w:r>
    <w:proofErr w:type="gramEnd"/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AD" w:rsidRDefault="00777AAD">
    <w:pPr>
      <w:pStyle w:val="Sidefod"/>
      <w:tabs>
        <w:tab w:val="clear" w:pos="9638"/>
        <w:tab w:val="right" w:pos="10773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98" w:rsidRDefault="002F4198">
      <w:r>
        <w:separator/>
      </w:r>
    </w:p>
  </w:footnote>
  <w:footnote w:type="continuationSeparator" w:id="0">
    <w:p w:rsidR="002F4198" w:rsidRDefault="002F4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26"/>
    <w:rsid w:val="000259E4"/>
    <w:rsid w:val="00026086"/>
    <w:rsid w:val="0002791B"/>
    <w:rsid w:val="00073674"/>
    <w:rsid w:val="00091C90"/>
    <w:rsid w:val="000A3112"/>
    <w:rsid w:val="000D07ED"/>
    <w:rsid w:val="00104B1C"/>
    <w:rsid w:val="00110D39"/>
    <w:rsid w:val="00114DBA"/>
    <w:rsid w:val="00145200"/>
    <w:rsid w:val="00153B82"/>
    <w:rsid w:val="00167FC0"/>
    <w:rsid w:val="001A6B07"/>
    <w:rsid w:val="001C0E56"/>
    <w:rsid w:val="001D5A86"/>
    <w:rsid w:val="002118A1"/>
    <w:rsid w:val="002759FA"/>
    <w:rsid w:val="0029533E"/>
    <w:rsid w:val="002A69F0"/>
    <w:rsid w:val="002F4198"/>
    <w:rsid w:val="002F55BE"/>
    <w:rsid w:val="00330726"/>
    <w:rsid w:val="00336F11"/>
    <w:rsid w:val="00382BD1"/>
    <w:rsid w:val="004850BF"/>
    <w:rsid w:val="00487927"/>
    <w:rsid w:val="004B05B5"/>
    <w:rsid w:val="004C1B51"/>
    <w:rsid w:val="004D2017"/>
    <w:rsid w:val="004E2059"/>
    <w:rsid w:val="00503A2D"/>
    <w:rsid w:val="00522773"/>
    <w:rsid w:val="005353D8"/>
    <w:rsid w:val="0054744B"/>
    <w:rsid w:val="005A1DD0"/>
    <w:rsid w:val="005A3F10"/>
    <w:rsid w:val="005A5FED"/>
    <w:rsid w:val="005B1979"/>
    <w:rsid w:val="005C6E10"/>
    <w:rsid w:val="005E02DE"/>
    <w:rsid w:val="005E1985"/>
    <w:rsid w:val="00664AD7"/>
    <w:rsid w:val="00685236"/>
    <w:rsid w:val="006B1AC5"/>
    <w:rsid w:val="006C1E30"/>
    <w:rsid w:val="00711236"/>
    <w:rsid w:val="007157F1"/>
    <w:rsid w:val="00723119"/>
    <w:rsid w:val="00734DDF"/>
    <w:rsid w:val="00777AAD"/>
    <w:rsid w:val="00783868"/>
    <w:rsid w:val="00794101"/>
    <w:rsid w:val="007B121B"/>
    <w:rsid w:val="007B2B47"/>
    <w:rsid w:val="008F3911"/>
    <w:rsid w:val="009412C1"/>
    <w:rsid w:val="00960187"/>
    <w:rsid w:val="0097035D"/>
    <w:rsid w:val="009920F8"/>
    <w:rsid w:val="009C32B1"/>
    <w:rsid w:val="009E6C58"/>
    <w:rsid w:val="00A14DB8"/>
    <w:rsid w:val="00A24F77"/>
    <w:rsid w:val="00A33B3C"/>
    <w:rsid w:val="00A431C7"/>
    <w:rsid w:val="00A624BB"/>
    <w:rsid w:val="00A92CF7"/>
    <w:rsid w:val="00AB0726"/>
    <w:rsid w:val="00AF4A59"/>
    <w:rsid w:val="00B14810"/>
    <w:rsid w:val="00B14CA7"/>
    <w:rsid w:val="00B221D4"/>
    <w:rsid w:val="00B87433"/>
    <w:rsid w:val="00B937D6"/>
    <w:rsid w:val="00BC7776"/>
    <w:rsid w:val="00C73D48"/>
    <w:rsid w:val="00CB62EE"/>
    <w:rsid w:val="00CD0D06"/>
    <w:rsid w:val="00CD4F54"/>
    <w:rsid w:val="00CE793C"/>
    <w:rsid w:val="00D06800"/>
    <w:rsid w:val="00D126C7"/>
    <w:rsid w:val="00D504DB"/>
    <w:rsid w:val="00D72FB2"/>
    <w:rsid w:val="00D73E64"/>
    <w:rsid w:val="00D93478"/>
    <w:rsid w:val="00DD4F01"/>
    <w:rsid w:val="00E0382B"/>
    <w:rsid w:val="00E13B17"/>
    <w:rsid w:val="00E336CC"/>
    <w:rsid w:val="00E34147"/>
    <w:rsid w:val="00E52CF0"/>
    <w:rsid w:val="00E540AC"/>
    <w:rsid w:val="00EB4154"/>
    <w:rsid w:val="00EE580C"/>
    <w:rsid w:val="00EF397D"/>
    <w:rsid w:val="00F008D9"/>
    <w:rsid w:val="00F520D8"/>
    <w:rsid w:val="00FA108B"/>
    <w:rsid w:val="00FB7EF7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F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24F7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E3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nusystemxp\LTK%20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LTK Notat.dot</Template>
  <TotalTime>1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Lyngby-Taarbæk Kommune</vt:lpstr>
    </vt:vector>
  </TitlesOfParts>
  <Company>Lyngby-Taarbæk Kommune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Lyngby-Taarbæk Kommune</dc:title>
  <dc:creator>heg</dc:creator>
  <cp:lastModifiedBy>Marc Eskelund</cp:lastModifiedBy>
  <cp:revision>2</cp:revision>
  <cp:lastPrinted>2013-05-03T09:07:00Z</cp:lastPrinted>
  <dcterms:created xsi:type="dcterms:W3CDTF">2013-05-15T13:01:00Z</dcterms:created>
  <dcterms:modified xsi:type="dcterms:W3CDTF">2013-05-15T13:01:00Z</dcterms:modified>
</cp:coreProperties>
</file>