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4B" w:rsidRDefault="006860D0">
      <w:pPr>
        <w:pStyle w:val="FrontPage1"/>
      </w:pPr>
      <w:r>
        <w:t>Aarhus</w:t>
      </w:r>
      <w:r w:rsidR="006B7FC5">
        <w:t xml:space="preserve"> Kommune</w:t>
      </w:r>
    </w:p>
    <w:p w:rsidR="00BA3E4B" w:rsidRPr="00DF66DF" w:rsidRDefault="006B7FC5">
      <w:pPr>
        <w:pStyle w:val="FrontPage2"/>
      </w:pPr>
      <w:r w:rsidRPr="00DF66DF">
        <w:t>CO</w:t>
      </w:r>
      <w:r w:rsidRPr="00DF66DF">
        <w:rPr>
          <w:vertAlign w:val="subscript"/>
        </w:rPr>
        <w:t>2</w:t>
      </w:r>
      <w:r w:rsidR="006860D0">
        <w:t>-</w:t>
      </w:r>
      <w:r w:rsidR="00AD66A5">
        <w:t xml:space="preserve">opgørelse </w:t>
      </w:r>
      <w:r w:rsidRPr="00DF66DF">
        <w:t>20</w:t>
      </w:r>
      <w:r w:rsidR="006860D0">
        <w:t>1</w:t>
      </w:r>
      <w:r w:rsidR="006C54CA" w:rsidRPr="00DF66DF">
        <w:t>0</w:t>
      </w:r>
    </w:p>
    <w:p w:rsidR="00BA3E4B" w:rsidRPr="00DF66DF" w:rsidRDefault="006B7FC5">
      <w:pPr>
        <w:pStyle w:val="Brdtekst"/>
        <w:rPr>
          <w:rFonts w:ascii="Arial Black" w:hAnsi="Arial Black"/>
          <w:sz w:val="28"/>
          <w:szCs w:val="28"/>
        </w:rPr>
      </w:pPr>
      <w:r w:rsidRPr="00DF66DF">
        <w:rPr>
          <w:rFonts w:ascii="Arial Black" w:hAnsi="Arial Black"/>
          <w:sz w:val="28"/>
          <w:szCs w:val="28"/>
        </w:rPr>
        <w:t>Virksomheds</w:t>
      </w:r>
      <w:r w:rsidR="00654A3F">
        <w:rPr>
          <w:rFonts w:ascii="Arial Black" w:hAnsi="Arial Black"/>
          <w:sz w:val="28"/>
          <w:szCs w:val="28"/>
        </w:rPr>
        <w:t>opgørelse</w:t>
      </w:r>
    </w:p>
    <w:p w:rsidR="00BA3E4B" w:rsidRPr="00DF66DF" w:rsidRDefault="00EB1E83">
      <w:pPr>
        <w:pStyle w:val="FrontPage3"/>
      </w:pPr>
      <w:r>
        <w:t>Juli</w:t>
      </w:r>
      <w:r w:rsidR="006B7FC5" w:rsidRPr="00DF66DF">
        <w:t xml:space="preserve"> 20</w:t>
      </w:r>
      <w:r w:rsidR="006860D0">
        <w:t>11</w:t>
      </w:r>
    </w:p>
    <w:p w:rsidR="00BA3E4B" w:rsidRDefault="00BA3E4B"/>
    <w:p w:rsidR="00BA3E4B" w:rsidRDefault="00BA3E4B">
      <w:pPr>
        <w:rPr>
          <w:highlight w:val="red"/>
        </w:rPr>
      </w:pPr>
    </w:p>
    <w:p w:rsidR="00DF66DF" w:rsidRDefault="00DF66DF">
      <w:pPr>
        <w:rPr>
          <w:i/>
          <w:iCs/>
          <w:color w:val="4F81BD" w:themeColor="accent1"/>
          <w:highlight w:val="red"/>
        </w:rPr>
      </w:pPr>
      <w:r>
        <w:rPr>
          <w:i/>
          <w:iCs/>
          <w:color w:val="4F81BD" w:themeColor="accent1"/>
          <w:highlight w:val="red"/>
        </w:rPr>
        <w:br w:type="page"/>
      </w:r>
    </w:p>
    <w:sdt>
      <w:sdtPr>
        <w:rPr>
          <w:rFonts w:asciiTheme="minorHAnsi" w:eastAsiaTheme="minorEastAsia" w:hAnsiTheme="minorHAnsi" w:cstheme="minorBidi"/>
          <w:b w:val="0"/>
          <w:bCs w:val="0"/>
          <w:color w:val="auto"/>
          <w:sz w:val="22"/>
          <w:szCs w:val="22"/>
          <w:lang w:val="da-DK" w:eastAsia="zh-CN"/>
        </w:rPr>
        <w:id w:val="27706438"/>
        <w:docPartObj>
          <w:docPartGallery w:val="Table of Contents"/>
          <w:docPartUnique/>
        </w:docPartObj>
      </w:sdtPr>
      <w:sdtContent>
        <w:p w:rsidR="00BA3E4B" w:rsidRDefault="006B7FC5">
          <w:pPr>
            <w:pStyle w:val="Overskrift"/>
          </w:pPr>
          <w:r>
            <w:t>Indholdsfortegnelse</w:t>
          </w:r>
        </w:p>
        <w:p w:rsidR="00771A1D" w:rsidRDefault="00491EBB">
          <w:pPr>
            <w:pStyle w:val="Indholdsfortegnelse1"/>
            <w:tabs>
              <w:tab w:val="left" w:pos="440"/>
              <w:tab w:val="right" w:leader="dot" w:pos="9628"/>
            </w:tabs>
            <w:rPr>
              <w:noProof/>
              <w:lang w:eastAsia="da-DK"/>
            </w:rPr>
          </w:pPr>
          <w:r>
            <w:fldChar w:fldCharType="begin"/>
          </w:r>
          <w:r w:rsidR="006B7FC5">
            <w:instrText xml:space="preserve"> TOC \o "1-3" \h \z \u </w:instrText>
          </w:r>
          <w:r>
            <w:fldChar w:fldCharType="separate"/>
          </w:r>
          <w:hyperlink w:anchor="_Toc300217005" w:history="1">
            <w:r w:rsidR="00771A1D" w:rsidRPr="00031C44">
              <w:rPr>
                <w:rStyle w:val="Hyperlink"/>
                <w:noProof/>
              </w:rPr>
              <w:t>1</w:t>
            </w:r>
            <w:r w:rsidR="00771A1D">
              <w:rPr>
                <w:noProof/>
                <w:lang w:eastAsia="da-DK"/>
              </w:rPr>
              <w:tab/>
            </w:r>
            <w:r w:rsidR="00771A1D" w:rsidRPr="00031C44">
              <w:rPr>
                <w:rStyle w:val="Hyperlink"/>
                <w:noProof/>
              </w:rPr>
              <w:t>Indledning</w:t>
            </w:r>
            <w:r w:rsidR="00771A1D">
              <w:rPr>
                <w:noProof/>
                <w:webHidden/>
              </w:rPr>
              <w:tab/>
            </w:r>
            <w:r>
              <w:rPr>
                <w:noProof/>
                <w:webHidden/>
              </w:rPr>
              <w:fldChar w:fldCharType="begin"/>
            </w:r>
            <w:r w:rsidR="00771A1D">
              <w:rPr>
                <w:noProof/>
                <w:webHidden/>
              </w:rPr>
              <w:instrText xml:space="preserve"> PAGEREF _Toc300217005 \h </w:instrText>
            </w:r>
            <w:r>
              <w:rPr>
                <w:noProof/>
                <w:webHidden/>
              </w:rPr>
            </w:r>
            <w:r>
              <w:rPr>
                <w:noProof/>
                <w:webHidden/>
              </w:rPr>
              <w:fldChar w:fldCharType="separate"/>
            </w:r>
            <w:r w:rsidR="00771A1D">
              <w:rPr>
                <w:noProof/>
                <w:webHidden/>
              </w:rPr>
              <w:t>3</w:t>
            </w:r>
            <w:r>
              <w:rPr>
                <w:noProof/>
                <w:webHidden/>
              </w:rPr>
              <w:fldChar w:fldCharType="end"/>
            </w:r>
          </w:hyperlink>
        </w:p>
        <w:p w:rsidR="00771A1D" w:rsidRDefault="00491EBB">
          <w:pPr>
            <w:pStyle w:val="Indholdsfortegnelse1"/>
            <w:tabs>
              <w:tab w:val="left" w:pos="440"/>
              <w:tab w:val="right" w:leader="dot" w:pos="9628"/>
            </w:tabs>
            <w:rPr>
              <w:noProof/>
              <w:lang w:eastAsia="da-DK"/>
            </w:rPr>
          </w:pPr>
          <w:hyperlink w:anchor="_Toc300217006" w:history="1">
            <w:r w:rsidR="00771A1D" w:rsidRPr="00031C44">
              <w:rPr>
                <w:rStyle w:val="Hyperlink"/>
                <w:noProof/>
              </w:rPr>
              <w:t>2</w:t>
            </w:r>
            <w:r w:rsidR="00771A1D">
              <w:rPr>
                <w:noProof/>
                <w:lang w:eastAsia="da-DK"/>
              </w:rPr>
              <w:tab/>
            </w:r>
            <w:r w:rsidR="00771A1D" w:rsidRPr="00031C44">
              <w:rPr>
                <w:rStyle w:val="Hyperlink"/>
                <w:noProof/>
              </w:rPr>
              <w:t>Sammenfatning af resultater</w:t>
            </w:r>
            <w:r w:rsidR="00771A1D">
              <w:rPr>
                <w:noProof/>
                <w:webHidden/>
              </w:rPr>
              <w:tab/>
            </w:r>
            <w:r>
              <w:rPr>
                <w:noProof/>
                <w:webHidden/>
              </w:rPr>
              <w:fldChar w:fldCharType="begin"/>
            </w:r>
            <w:r w:rsidR="00771A1D">
              <w:rPr>
                <w:noProof/>
                <w:webHidden/>
              </w:rPr>
              <w:instrText xml:space="preserve"> PAGEREF _Toc300217006 \h </w:instrText>
            </w:r>
            <w:r>
              <w:rPr>
                <w:noProof/>
                <w:webHidden/>
              </w:rPr>
            </w:r>
            <w:r>
              <w:rPr>
                <w:noProof/>
                <w:webHidden/>
              </w:rPr>
              <w:fldChar w:fldCharType="separate"/>
            </w:r>
            <w:r w:rsidR="00771A1D">
              <w:rPr>
                <w:noProof/>
                <w:webHidden/>
              </w:rPr>
              <w:t>4</w:t>
            </w:r>
            <w:r>
              <w:rPr>
                <w:noProof/>
                <w:webHidden/>
              </w:rPr>
              <w:fldChar w:fldCharType="end"/>
            </w:r>
          </w:hyperlink>
        </w:p>
        <w:p w:rsidR="00771A1D" w:rsidRDefault="00491EBB">
          <w:pPr>
            <w:pStyle w:val="Indholdsfortegnelse1"/>
            <w:tabs>
              <w:tab w:val="left" w:pos="660"/>
              <w:tab w:val="right" w:leader="dot" w:pos="9628"/>
            </w:tabs>
            <w:rPr>
              <w:noProof/>
              <w:lang w:eastAsia="da-DK"/>
            </w:rPr>
          </w:pPr>
          <w:hyperlink w:anchor="_Toc300217007" w:history="1">
            <w:r w:rsidR="00771A1D" w:rsidRPr="00031C44">
              <w:rPr>
                <w:rStyle w:val="Hyperlink"/>
                <w:noProof/>
              </w:rPr>
              <w:t>2.1</w:t>
            </w:r>
            <w:r w:rsidR="00771A1D">
              <w:rPr>
                <w:noProof/>
                <w:lang w:eastAsia="da-DK"/>
              </w:rPr>
              <w:tab/>
            </w:r>
            <w:r w:rsidR="00771A1D" w:rsidRPr="00031C44">
              <w:rPr>
                <w:rStyle w:val="Hyperlink"/>
                <w:noProof/>
              </w:rPr>
              <w:t>Udvikling i samlet CO</w:t>
            </w:r>
            <w:r w:rsidR="00771A1D" w:rsidRPr="00031C44">
              <w:rPr>
                <w:rStyle w:val="Hyperlink"/>
                <w:noProof/>
                <w:vertAlign w:val="subscript"/>
              </w:rPr>
              <w:t>2</w:t>
            </w:r>
            <w:r w:rsidR="00771A1D" w:rsidRPr="00031C44">
              <w:rPr>
                <w:rStyle w:val="Hyperlink"/>
                <w:noProof/>
              </w:rPr>
              <w:t>-udledning</w:t>
            </w:r>
            <w:r w:rsidR="00771A1D">
              <w:rPr>
                <w:noProof/>
                <w:webHidden/>
              </w:rPr>
              <w:tab/>
            </w:r>
            <w:r>
              <w:rPr>
                <w:noProof/>
                <w:webHidden/>
              </w:rPr>
              <w:fldChar w:fldCharType="begin"/>
            </w:r>
            <w:r w:rsidR="00771A1D">
              <w:rPr>
                <w:noProof/>
                <w:webHidden/>
              </w:rPr>
              <w:instrText xml:space="preserve"> PAGEREF _Toc300217007 \h </w:instrText>
            </w:r>
            <w:r>
              <w:rPr>
                <w:noProof/>
                <w:webHidden/>
              </w:rPr>
            </w:r>
            <w:r>
              <w:rPr>
                <w:noProof/>
                <w:webHidden/>
              </w:rPr>
              <w:fldChar w:fldCharType="separate"/>
            </w:r>
            <w:r w:rsidR="00771A1D">
              <w:rPr>
                <w:noProof/>
                <w:webHidden/>
              </w:rPr>
              <w:t>6</w:t>
            </w:r>
            <w:r>
              <w:rPr>
                <w:noProof/>
                <w:webHidden/>
              </w:rPr>
              <w:fldChar w:fldCharType="end"/>
            </w:r>
          </w:hyperlink>
        </w:p>
        <w:p w:rsidR="00771A1D" w:rsidRDefault="00491EBB">
          <w:pPr>
            <w:pStyle w:val="Indholdsfortegnelse1"/>
            <w:tabs>
              <w:tab w:val="left" w:pos="660"/>
              <w:tab w:val="right" w:leader="dot" w:pos="9628"/>
            </w:tabs>
            <w:rPr>
              <w:noProof/>
              <w:lang w:eastAsia="da-DK"/>
            </w:rPr>
          </w:pPr>
          <w:hyperlink w:anchor="_Toc300217008" w:history="1">
            <w:r w:rsidR="00771A1D" w:rsidRPr="00031C44">
              <w:rPr>
                <w:rStyle w:val="Hyperlink"/>
                <w:noProof/>
              </w:rPr>
              <w:t>2.2</w:t>
            </w:r>
            <w:r w:rsidR="00771A1D">
              <w:rPr>
                <w:noProof/>
                <w:lang w:eastAsia="da-DK"/>
              </w:rPr>
              <w:tab/>
            </w:r>
            <w:r w:rsidR="00771A1D" w:rsidRPr="00031C44">
              <w:rPr>
                <w:rStyle w:val="Hyperlink"/>
                <w:noProof/>
              </w:rPr>
              <w:t>Udvikling i CO</w:t>
            </w:r>
            <w:r w:rsidR="00771A1D" w:rsidRPr="00031C44">
              <w:rPr>
                <w:rStyle w:val="Hyperlink"/>
                <w:noProof/>
                <w:vertAlign w:val="subscript"/>
              </w:rPr>
              <w:t>2</w:t>
            </w:r>
            <w:r w:rsidR="00771A1D" w:rsidRPr="00031C44">
              <w:rPr>
                <w:rStyle w:val="Hyperlink"/>
                <w:noProof/>
              </w:rPr>
              <w:t>-udledning for Magistratsafdelinger</w:t>
            </w:r>
            <w:r w:rsidR="00771A1D">
              <w:rPr>
                <w:noProof/>
                <w:webHidden/>
              </w:rPr>
              <w:tab/>
            </w:r>
            <w:r>
              <w:rPr>
                <w:noProof/>
                <w:webHidden/>
              </w:rPr>
              <w:fldChar w:fldCharType="begin"/>
            </w:r>
            <w:r w:rsidR="00771A1D">
              <w:rPr>
                <w:noProof/>
                <w:webHidden/>
              </w:rPr>
              <w:instrText xml:space="preserve"> PAGEREF _Toc300217008 \h </w:instrText>
            </w:r>
            <w:r>
              <w:rPr>
                <w:noProof/>
                <w:webHidden/>
              </w:rPr>
            </w:r>
            <w:r>
              <w:rPr>
                <w:noProof/>
                <w:webHidden/>
              </w:rPr>
              <w:fldChar w:fldCharType="separate"/>
            </w:r>
            <w:r w:rsidR="00771A1D">
              <w:rPr>
                <w:noProof/>
                <w:webHidden/>
              </w:rPr>
              <w:t>6</w:t>
            </w:r>
            <w:r>
              <w:rPr>
                <w:noProof/>
                <w:webHidden/>
              </w:rPr>
              <w:fldChar w:fldCharType="end"/>
            </w:r>
          </w:hyperlink>
        </w:p>
        <w:p w:rsidR="00771A1D" w:rsidRDefault="00491EBB">
          <w:pPr>
            <w:pStyle w:val="Indholdsfortegnelse1"/>
            <w:tabs>
              <w:tab w:val="left" w:pos="660"/>
              <w:tab w:val="right" w:leader="dot" w:pos="9628"/>
            </w:tabs>
            <w:rPr>
              <w:noProof/>
              <w:lang w:eastAsia="da-DK"/>
            </w:rPr>
          </w:pPr>
          <w:hyperlink w:anchor="_Toc300217009" w:history="1">
            <w:r w:rsidR="00771A1D" w:rsidRPr="00031C44">
              <w:rPr>
                <w:rStyle w:val="Hyperlink"/>
                <w:noProof/>
              </w:rPr>
              <w:t>2.3</w:t>
            </w:r>
            <w:r w:rsidR="00771A1D">
              <w:rPr>
                <w:noProof/>
                <w:lang w:eastAsia="da-DK"/>
              </w:rPr>
              <w:tab/>
            </w:r>
            <w:r w:rsidR="00771A1D" w:rsidRPr="00031C44">
              <w:rPr>
                <w:rStyle w:val="Hyperlink"/>
                <w:noProof/>
              </w:rPr>
              <w:t>Datagrundlag og usikkerheder</w:t>
            </w:r>
            <w:r w:rsidR="00771A1D">
              <w:rPr>
                <w:noProof/>
                <w:webHidden/>
              </w:rPr>
              <w:tab/>
            </w:r>
            <w:r>
              <w:rPr>
                <w:noProof/>
                <w:webHidden/>
              </w:rPr>
              <w:fldChar w:fldCharType="begin"/>
            </w:r>
            <w:r w:rsidR="00771A1D">
              <w:rPr>
                <w:noProof/>
                <w:webHidden/>
              </w:rPr>
              <w:instrText xml:space="preserve"> PAGEREF _Toc300217009 \h </w:instrText>
            </w:r>
            <w:r>
              <w:rPr>
                <w:noProof/>
                <w:webHidden/>
              </w:rPr>
            </w:r>
            <w:r>
              <w:rPr>
                <w:noProof/>
                <w:webHidden/>
              </w:rPr>
              <w:fldChar w:fldCharType="separate"/>
            </w:r>
            <w:r w:rsidR="00771A1D">
              <w:rPr>
                <w:noProof/>
                <w:webHidden/>
              </w:rPr>
              <w:t>7</w:t>
            </w:r>
            <w:r>
              <w:rPr>
                <w:noProof/>
                <w:webHidden/>
              </w:rPr>
              <w:fldChar w:fldCharType="end"/>
            </w:r>
          </w:hyperlink>
        </w:p>
        <w:p w:rsidR="00771A1D" w:rsidRDefault="00491EBB">
          <w:pPr>
            <w:pStyle w:val="Indholdsfortegnelse1"/>
            <w:tabs>
              <w:tab w:val="left" w:pos="440"/>
              <w:tab w:val="right" w:leader="dot" w:pos="9628"/>
            </w:tabs>
            <w:rPr>
              <w:noProof/>
              <w:lang w:eastAsia="da-DK"/>
            </w:rPr>
          </w:pPr>
          <w:hyperlink w:anchor="_Toc300217010" w:history="1">
            <w:r w:rsidR="00771A1D" w:rsidRPr="00031C44">
              <w:rPr>
                <w:rStyle w:val="Hyperlink"/>
                <w:noProof/>
              </w:rPr>
              <w:t>3</w:t>
            </w:r>
            <w:r w:rsidR="00771A1D">
              <w:rPr>
                <w:noProof/>
                <w:lang w:eastAsia="da-DK"/>
              </w:rPr>
              <w:tab/>
            </w:r>
            <w:r w:rsidR="00771A1D" w:rsidRPr="00031C44">
              <w:rPr>
                <w:rStyle w:val="Hyperlink"/>
                <w:noProof/>
              </w:rPr>
              <w:t>Elforbrug</w:t>
            </w:r>
            <w:r w:rsidR="00771A1D">
              <w:rPr>
                <w:noProof/>
                <w:webHidden/>
              </w:rPr>
              <w:tab/>
            </w:r>
            <w:r>
              <w:rPr>
                <w:noProof/>
                <w:webHidden/>
              </w:rPr>
              <w:fldChar w:fldCharType="begin"/>
            </w:r>
            <w:r w:rsidR="00771A1D">
              <w:rPr>
                <w:noProof/>
                <w:webHidden/>
              </w:rPr>
              <w:instrText xml:space="preserve"> PAGEREF _Toc300217010 \h </w:instrText>
            </w:r>
            <w:r>
              <w:rPr>
                <w:noProof/>
                <w:webHidden/>
              </w:rPr>
            </w:r>
            <w:r>
              <w:rPr>
                <w:noProof/>
                <w:webHidden/>
              </w:rPr>
              <w:fldChar w:fldCharType="separate"/>
            </w:r>
            <w:r w:rsidR="00771A1D">
              <w:rPr>
                <w:noProof/>
                <w:webHidden/>
              </w:rPr>
              <w:t>9</w:t>
            </w:r>
            <w:r>
              <w:rPr>
                <w:noProof/>
                <w:webHidden/>
              </w:rPr>
              <w:fldChar w:fldCharType="end"/>
            </w:r>
          </w:hyperlink>
        </w:p>
        <w:p w:rsidR="00771A1D" w:rsidRDefault="00491EBB">
          <w:pPr>
            <w:pStyle w:val="Indholdsfortegnelse1"/>
            <w:tabs>
              <w:tab w:val="left" w:pos="440"/>
              <w:tab w:val="right" w:leader="dot" w:pos="9628"/>
            </w:tabs>
            <w:rPr>
              <w:noProof/>
              <w:lang w:eastAsia="da-DK"/>
            </w:rPr>
          </w:pPr>
          <w:hyperlink w:anchor="_Toc300217011" w:history="1">
            <w:r w:rsidR="00771A1D" w:rsidRPr="00031C44">
              <w:rPr>
                <w:rStyle w:val="Hyperlink"/>
                <w:noProof/>
              </w:rPr>
              <w:t>4</w:t>
            </w:r>
            <w:r w:rsidR="00771A1D">
              <w:rPr>
                <w:noProof/>
                <w:lang w:eastAsia="da-DK"/>
              </w:rPr>
              <w:tab/>
            </w:r>
            <w:r w:rsidR="00771A1D" w:rsidRPr="00031C44">
              <w:rPr>
                <w:rStyle w:val="Hyperlink"/>
                <w:noProof/>
              </w:rPr>
              <w:t>Varmeforbrug</w:t>
            </w:r>
            <w:r w:rsidR="00771A1D">
              <w:rPr>
                <w:noProof/>
                <w:webHidden/>
              </w:rPr>
              <w:tab/>
            </w:r>
            <w:r>
              <w:rPr>
                <w:noProof/>
                <w:webHidden/>
              </w:rPr>
              <w:fldChar w:fldCharType="begin"/>
            </w:r>
            <w:r w:rsidR="00771A1D">
              <w:rPr>
                <w:noProof/>
                <w:webHidden/>
              </w:rPr>
              <w:instrText xml:space="preserve"> PAGEREF _Toc300217011 \h </w:instrText>
            </w:r>
            <w:r>
              <w:rPr>
                <w:noProof/>
                <w:webHidden/>
              </w:rPr>
            </w:r>
            <w:r>
              <w:rPr>
                <w:noProof/>
                <w:webHidden/>
              </w:rPr>
              <w:fldChar w:fldCharType="separate"/>
            </w:r>
            <w:r w:rsidR="00771A1D">
              <w:rPr>
                <w:noProof/>
                <w:webHidden/>
              </w:rPr>
              <w:t>10</w:t>
            </w:r>
            <w:r>
              <w:rPr>
                <w:noProof/>
                <w:webHidden/>
              </w:rPr>
              <w:fldChar w:fldCharType="end"/>
            </w:r>
          </w:hyperlink>
        </w:p>
        <w:p w:rsidR="00771A1D" w:rsidRDefault="00491EBB">
          <w:pPr>
            <w:pStyle w:val="Indholdsfortegnelse1"/>
            <w:tabs>
              <w:tab w:val="left" w:pos="440"/>
              <w:tab w:val="right" w:leader="dot" w:pos="9628"/>
            </w:tabs>
            <w:rPr>
              <w:noProof/>
              <w:lang w:eastAsia="da-DK"/>
            </w:rPr>
          </w:pPr>
          <w:hyperlink w:anchor="_Toc300217012" w:history="1">
            <w:r w:rsidR="00771A1D" w:rsidRPr="00031C44">
              <w:rPr>
                <w:rStyle w:val="Hyperlink"/>
                <w:noProof/>
              </w:rPr>
              <w:t>5</w:t>
            </w:r>
            <w:r w:rsidR="00771A1D">
              <w:rPr>
                <w:noProof/>
                <w:lang w:eastAsia="da-DK"/>
              </w:rPr>
              <w:tab/>
            </w:r>
            <w:r w:rsidR="00771A1D" w:rsidRPr="00031C44">
              <w:rPr>
                <w:rStyle w:val="Hyperlink"/>
                <w:noProof/>
              </w:rPr>
              <w:t>Transport</w:t>
            </w:r>
            <w:r w:rsidR="00771A1D">
              <w:rPr>
                <w:noProof/>
                <w:webHidden/>
              </w:rPr>
              <w:tab/>
            </w:r>
            <w:r>
              <w:rPr>
                <w:noProof/>
                <w:webHidden/>
              </w:rPr>
              <w:fldChar w:fldCharType="begin"/>
            </w:r>
            <w:r w:rsidR="00771A1D">
              <w:rPr>
                <w:noProof/>
                <w:webHidden/>
              </w:rPr>
              <w:instrText xml:space="preserve"> PAGEREF _Toc300217012 \h </w:instrText>
            </w:r>
            <w:r>
              <w:rPr>
                <w:noProof/>
                <w:webHidden/>
              </w:rPr>
            </w:r>
            <w:r>
              <w:rPr>
                <w:noProof/>
                <w:webHidden/>
              </w:rPr>
              <w:fldChar w:fldCharType="separate"/>
            </w:r>
            <w:r w:rsidR="00771A1D">
              <w:rPr>
                <w:noProof/>
                <w:webHidden/>
              </w:rPr>
              <w:t>11</w:t>
            </w:r>
            <w:r>
              <w:rPr>
                <w:noProof/>
                <w:webHidden/>
              </w:rPr>
              <w:fldChar w:fldCharType="end"/>
            </w:r>
          </w:hyperlink>
        </w:p>
        <w:p w:rsidR="00771A1D" w:rsidRDefault="00491EBB">
          <w:pPr>
            <w:pStyle w:val="Indholdsfortegnelse1"/>
            <w:tabs>
              <w:tab w:val="left" w:pos="440"/>
              <w:tab w:val="right" w:leader="dot" w:pos="9628"/>
            </w:tabs>
            <w:rPr>
              <w:noProof/>
              <w:lang w:eastAsia="da-DK"/>
            </w:rPr>
          </w:pPr>
          <w:hyperlink w:anchor="_Toc300217013" w:history="1">
            <w:r w:rsidR="00771A1D" w:rsidRPr="00031C44">
              <w:rPr>
                <w:rStyle w:val="Hyperlink"/>
                <w:noProof/>
              </w:rPr>
              <w:t>6</w:t>
            </w:r>
            <w:r w:rsidR="00771A1D">
              <w:rPr>
                <w:noProof/>
                <w:lang w:eastAsia="da-DK"/>
              </w:rPr>
              <w:tab/>
            </w:r>
            <w:r w:rsidR="00771A1D" w:rsidRPr="00031C44">
              <w:rPr>
                <w:rStyle w:val="Hyperlink"/>
                <w:noProof/>
              </w:rPr>
              <w:t>Procesemissioner</w:t>
            </w:r>
            <w:r w:rsidR="00771A1D">
              <w:rPr>
                <w:noProof/>
                <w:webHidden/>
              </w:rPr>
              <w:tab/>
            </w:r>
            <w:r>
              <w:rPr>
                <w:noProof/>
                <w:webHidden/>
              </w:rPr>
              <w:fldChar w:fldCharType="begin"/>
            </w:r>
            <w:r w:rsidR="00771A1D">
              <w:rPr>
                <w:noProof/>
                <w:webHidden/>
              </w:rPr>
              <w:instrText xml:space="preserve"> PAGEREF _Toc300217013 \h </w:instrText>
            </w:r>
            <w:r>
              <w:rPr>
                <w:noProof/>
                <w:webHidden/>
              </w:rPr>
            </w:r>
            <w:r>
              <w:rPr>
                <w:noProof/>
                <w:webHidden/>
              </w:rPr>
              <w:fldChar w:fldCharType="separate"/>
            </w:r>
            <w:r w:rsidR="00771A1D">
              <w:rPr>
                <w:noProof/>
                <w:webHidden/>
              </w:rPr>
              <w:t>12</w:t>
            </w:r>
            <w:r>
              <w:rPr>
                <w:noProof/>
                <w:webHidden/>
              </w:rPr>
              <w:fldChar w:fldCharType="end"/>
            </w:r>
          </w:hyperlink>
        </w:p>
        <w:p w:rsidR="00771A1D" w:rsidRDefault="00491EBB">
          <w:pPr>
            <w:pStyle w:val="Indholdsfortegnelse1"/>
            <w:tabs>
              <w:tab w:val="left" w:pos="440"/>
              <w:tab w:val="right" w:leader="dot" w:pos="9628"/>
            </w:tabs>
            <w:rPr>
              <w:noProof/>
              <w:lang w:eastAsia="da-DK"/>
            </w:rPr>
          </w:pPr>
          <w:hyperlink w:anchor="_Toc300217014" w:history="1">
            <w:r w:rsidR="00771A1D" w:rsidRPr="00031C44">
              <w:rPr>
                <w:rStyle w:val="Hyperlink"/>
                <w:noProof/>
              </w:rPr>
              <w:t>7</w:t>
            </w:r>
            <w:r w:rsidR="00771A1D">
              <w:rPr>
                <w:noProof/>
                <w:lang w:eastAsia="da-DK"/>
              </w:rPr>
              <w:tab/>
            </w:r>
            <w:r w:rsidR="00771A1D" w:rsidRPr="00031C44">
              <w:rPr>
                <w:rStyle w:val="Hyperlink"/>
                <w:noProof/>
              </w:rPr>
              <w:t>Landbrug</w:t>
            </w:r>
            <w:r w:rsidR="00771A1D">
              <w:rPr>
                <w:noProof/>
                <w:webHidden/>
              </w:rPr>
              <w:tab/>
            </w:r>
            <w:r>
              <w:rPr>
                <w:noProof/>
                <w:webHidden/>
              </w:rPr>
              <w:fldChar w:fldCharType="begin"/>
            </w:r>
            <w:r w:rsidR="00771A1D">
              <w:rPr>
                <w:noProof/>
                <w:webHidden/>
              </w:rPr>
              <w:instrText xml:space="preserve"> PAGEREF _Toc300217014 \h </w:instrText>
            </w:r>
            <w:r>
              <w:rPr>
                <w:noProof/>
                <w:webHidden/>
              </w:rPr>
            </w:r>
            <w:r>
              <w:rPr>
                <w:noProof/>
                <w:webHidden/>
              </w:rPr>
              <w:fldChar w:fldCharType="separate"/>
            </w:r>
            <w:r w:rsidR="00771A1D">
              <w:rPr>
                <w:noProof/>
                <w:webHidden/>
              </w:rPr>
              <w:t>12</w:t>
            </w:r>
            <w:r>
              <w:rPr>
                <w:noProof/>
                <w:webHidden/>
              </w:rPr>
              <w:fldChar w:fldCharType="end"/>
            </w:r>
          </w:hyperlink>
        </w:p>
        <w:p w:rsidR="00771A1D" w:rsidRDefault="00491EBB">
          <w:pPr>
            <w:pStyle w:val="Indholdsfortegnelse1"/>
            <w:tabs>
              <w:tab w:val="left" w:pos="440"/>
              <w:tab w:val="right" w:leader="dot" w:pos="9628"/>
            </w:tabs>
            <w:rPr>
              <w:noProof/>
              <w:lang w:eastAsia="da-DK"/>
            </w:rPr>
          </w:pPr>
          <w:hyperlink w:anchor="_Toc300217015" w:history="1">
            <w:r w:rsidR="00771A1D" w:rsidRPr="00031C44">
              <w:rPr>
                <w:rStyle w:val="Hyperlink"/>
                <w:noProof/>
              </w:rPr>
              <w:t>8</w:t>
            </w:r>
            <w:r w:rsidR="00771A1D">
              <w:rPr>
                <w:noProof/>
                <w:lang w:eastAsia="da-DK"/>
              </w:rPr>
              <w:tab/>
            </w:r>
            <w:r w:rsidR="00771A1D" w:rsidRPr="00031C44">
              <w:rPr>
                <w:rStyle w:val="Hyperlink"/>
                <w:noProof/>
              </w:rPr>
              <w:t>Arealanvendelse</w:t>
            </w:r>
            <w:r w:rsidR="00771A1D">
              <w:rPr>
                <w:noProof/>
                <w:webHidden/>
              </w:rPr>
              <w:tab/>
            </w:r>
            <w:r>
              <w:rPr>
                <w:noProof/>
                <w:webHidden/>
              </w:rPr>
              <w:fldChar w:fldCharType="begin"/>
            </w:r>
            <w:r w:rsidR="00771A1D">
              <w:rPr>
                <w:noProof/>
                <w:webHidden/>
              </w:rPr>
              <w:instrText xml:space="preserve"> PAGEREF _Toc300217015 \h </w:instrText>
            </w:r>
            <w:r>
              <w:rPr>
                <w:noProof/>
                <w:webHidden/>
              </w:rPr>
            </w:r>
            <w:r>
              <w:rPr>
                <w:noProof/>
                <w:webHidden/>
              </w:rPr>
              <w:fldChar w:fldCharType="separate"/>
            </w:r>
            <w:r w:rsidR="00771A1D">
              <w:rPr>
                <w:noProof/>
                <w:webHidden/>
              </w:rPr>
              <w:t>12</w:t>
            </w:r>
            <w:r>
              <w:rPr>
                <w:noProof/>
                <w:webHidden/>
              </w:rPr>
              <w:fldChar w:fldCharType="end"/>
            </w:r>
          </w:hyperlink>
        </w:p>
        <w:p w:rsidR="00771A1D" w:rsidRDefault="00491EBB">
          <w:pPr>
            <w:pStyle w:val="Indholdsfortegnelse1"/>
            <w:tabs>
              <w:tab w:val="left" w:pos="440"/>
              <w:tab w:val="right" w:leader="dot" w:pos="9628"/>
            </w:tabs>
            <w:rPr>
              <w:noProof/>
              <w:lang w:eastAsia="da-DK"/>
            </w:rPr>
          </w:pPr>
          <w:hyperlink w:anchor="_Toc300217016" w:history="1">
            <w:r w:rsidR="00771A1D" w:rsidRPr="00031C44">
              <w:rPr>
                <w:rStyle w:val="Hyperlink"/>
                <w:noProof/>
              </w:rPr>
              <w:t>9</w:t>
            </w:r>
            <w:r w:rsidR="00771A1D">
              <w:rPr>
                <w:noProof/>
                <w:lang w:eastAsia="da-DK"/>
              </w:rPr>
              <w:tab/>
            </w:r>
            <w:r w:rsidR="00771A1D" w:rsidRPr="00031C44">
              <w:rPr>
                <w:rStyle w:val="Hyperlink"/>
                <w:noProof/>
              </w:rPr>
              <w:t>Affald</w:t>
            </w:r>
            <w:r w:rsidR="00771A1D">
              <w:rPr>
                <w:noProof/>
                <w:webHidden/>
              </w:rPr>
              <w:tab/>
            </w:r>
            <w:r>
              <w:rPr>
                <w:noProof/>
                <w:webHidden/>
              </w:rPr>
              <w:fldChar w:fldCharType="begin"/>
            </w:r>
            <w:r w:rsidR="00771A1D">
              <w:rPr>
                <w:noProof/>
                <w:webHidden/>
              </w:rPr>
              <w:instrText xml:space="preserve"> PAGEREF _Toc300217016 \h </w:instrText>
            </w:r>
            <w:r>
              <w:rPr>
                <w:noProof/>
                <w:webHidden/>
              </w:rPr>
            </w:r>
            <w:r>
              <w:rPr>
                <w:noProof/>
                <w:webHidden/>
              </w:rPr>
              <w:fldChar w:fldCharType="separate"/>
            </w:r>
            <w:r w:rsidR="00771A1D">
              <w:rPr>
                <w:noProof/>
                <w:webHidden/>
              </w:rPr>
              <w:t>12</w:t>
            </w:r>
            <w:r>
              <w:rPr>
                <w:noProof/>
                <w:webHidden/>
              </w:rPr>
              <w:fldChar w:fldCharType="end"/>
            </w:r>
          </w:hyperlink>
        </w:p>
        <w:p w:rsidR="00771A1D" w:rsidRDefault="00491EBB">
          <w:pPr>
            <w:pStyle w:val="Indholdsfortegnelse1"/>
            <w:tabs>
              <w:tab w:val="left" w:pos="660"/>
              <w:tab w:val="right" w:leader="dot" w:pos="9628"/>
            </w:tabs>
            <w:rPr>
              <w:noProof/>
              <w:lang w:eastAsia="da-DK"/>
            </w:rPr>
          </w:pPr>
          <w:hyperlink w:anchor="_Toc300217017" w:history="1">
            <w:r w:rsidR="00771A1D" w:rsidRPr="00031C44">
              <w:rPr>
                <w:rStyle w:val="Hyperlink"/>
                <w:noProof/>
              </w:rPr>
              <w:t>10</w:t>
            </w:r>
            <w:r w:rsidR="00771A1D">
              <w:rPr>
                <w:noProof/>
                <w:lang w:eastAsia="da-DK"/>
              </w:rPr>
              <w:tab/>
            </w:r>
            <w:r w:rsidR="00771A1D" w:rsidRPr="00031C44">
              <w:rPr>
                <w:rStyle w:val="Hyperlink"/>
                <w:noProof/>
              </w:rPr>
              <w:t>Spildevand</w:t>
            </w:r>
            <w:r w:rsidR="00771A1D">
              <w:rPr>
                <w:noProof/>
                <w:webHidden/>
              </w:rPr>
              <w:tab/>
            </w:r>
            <w:r>
              <w:rPr>
                <w:noProof/>
                <w:webHidden/>
              </w:rPr>
              <w:fldChar w:fldCharType="begin"/>
            </w:r>
            <w:r w:rsidR="00771A1D">
              <w:rPr>
                <w:noProof/>
                <w:webHidden/>
              </w:rPr>
              <w:instrText xml:space="preserve"> PAGEREF _Toc300217017 \h </w:instrText>
            </w:r>
            <w:r>
              <w:rPr>
                <w:noProof/>
                <w:webHidden/>
              </w:rPr>
            </w:r>
            <w:r>
              <w:rPr>
                <w:noProof/>
                <w:webHidden/>
              </w:rPr>
              <w:fldChar w:fldCharType="separate"/>
            </w:r>
            <w:r w:rsidR="00771A1D">
              <w:rPr>
                <w:noProof/>
                <w:webHidden/>
              </w:rPr>
              <w:t>13</w:t>
            </w:r>
            <w:r>
              <w:rPr>
                <w:noProof/>
                <w:webHidden/>
              </w:rPr>
              <w:fldChar w:fldCharType="end"/>
            </w:r>
          </w:hyperlink>
        </w:p>
        <w:p w:rsidR="00771A1D" w:rsidRDefault="00771A1D">
          <w:pPr>
            <w:pStyle w:val="Indholdsfortegnelse1"/>
            <w:tabs>
              <w:tab w:val="right" w:leader="dot" w:pos="9628"/>
            </w:tabs>
            <w:rPr>
              <w:rStyle w:val="Hyperlink"/>
              <w:noProof/>
            </w:rPr>
          </w:pPr>
        </w:p>
        <w:p w:rsidR="00771A1D" w:rsidRPr="00FA257F" w:rsidRDefault="00771A1D" w:rsidP="00771A1D">
          <w:pPr>
            <w:rPr>
              <w:b/>
            </w:rPr>
          </w:pPr>
          <w:r w:rsidRPr="00FA257F">
            <w:rPr>
              <w:b/>
            </w:rPr>
            <w:t>Bilag</w:t>
          </w:r>
        </w:p>
        <w:p w:rsidR="00771A1D" w:rsidRDefault="00491EBB">
          <w:pPr>
            <w:pStyle w:val="Indholdsfortegnelse1"/>
            <w:tabs>
              <w:tab w:val="right" w:leader="dot" w:pos="9628"/>
            </w:tabs>
            <w:rPr>
              <w:noProof/>
              <w:lang w:eastAsia="da-DK"/>
            </w:rPr>
          </w:pPr>
          <w:hyperlink w:anchor="_Toc300217018" w:history="1">
            <w:r w:rsidR="00771A1D" w:rsidRPr="00031C44">
              <w:rPr>
                <w:rStyle w:val="Hyperlink"/>
                <w:noProof/>
              </w:rPr>
              <w:t>Bilag 1: Beregningsforudsætninger og data</w:t>
            </w:r>
            <w:r w:rsidR="00771A1D">
              <w:rPr>
                <w:noProof/>
                <w:webHidden/>
              </w:rPr>
              <w:tab/>
            </w:r>
            <w:r>
              <w:rPr>
                <w:noProof/>
                <w:webHidden/>
              </w:rPr>
              <w:fldChar w:fldCharType="begin"/>
            </w:r>
            <w:r w:rsidR="00771A1D">
              <w:rPr>
                <w:noProof/>
                <w:webHidden/>
              </w:rPr>
              <w:instrText xml:space="preserve"> PAGEREF _Toc300217018 \h </w:instrText>
            </w:r>
            <w:r>
              <w:rPr>
                <w:noProof/>
                <w:webHidden/>
              </w:rPr>
            </w:r>
            <w:r>
              <w:rPr>
                <w:noProof/>
                <w:webHidden/>
              </w:rPr>
              <w:fldChar w:fldCharType="separate"/>
            </w:r>
            <w:r w:rsidR="00771A1D">
              <w:rPr>
                <w:noProof/>
                <w:webHidden/>
              </w:rPr>
              <w:t>14</w:t>
            </w:r>
            <w:r>
              <w:rPr>
                <w:noProof/>
                <w:webHidden/>
              </w:rPr>
              <w:fldChar w:fldCharType="end"/>
            </w:r>
          </w:hyperlink>
        </w:p>
        <w:p w:rsidR="00BA3E4B" w:rsidRDefault="00491EBB">
          <w:r>
            <w:fldChar w:fldCharType="end"/>
          </w:r>
        </w:p>
      </w:sdtContent>
    </w:sdt>
    <w:p w:rsidR="00BA3E4B" w:rsidRDefault="006B7FC5">
      <w:pPr>
        <w:rPr>
          <w:i/>
          <w:iCs/>
          <w:color w:val="4F81BD" w:themeColor="accent1"/>
          <w:highlight w:val="red"/>
        </w:rPr>
      </w:pPr>
      <w:r>
        <w:rPr>
          <w:highlight w:val="red"/>
        </w:rPr>
        <w:br w:type="page"/>
      </w:r>
    </w:p>
    <w:p w:rsidR="00BA3E4B" w:rsidRDefault="006B7FC5">
      <w:pPr>
        <w:pStyle w:val="Overskrift1"/>
        <w:numPr>
          <w:ilvl w:val="0"/>
          <w:numId w:val="12"/>
        </w:numPr>
      </w:pPr>
      <w:bookmarkStart w:id="0" w:name="_Toc300217005"/>
      <w:r>
        <w:lastRenderedPageBreak/>
        <w:t>Indledning</w:t>
      </w:r>
      <w:bookmarkEnd w:id="0"/>
    </w:p>
    <w:p w:rsidR="00D52ED5" w:rsidRPr="00D52ED5" w:rsidRDefault="00C44C42" w:rsidP="00D52ED5">
      <w:pPr>
        <w:autoSpaceDE w:val="0"/>
        <w:autoSpaceDN w:val="0"/>
        <w:adjustRightInd w:val="0"/>
        <w:spacing w:line="240" w:lineRule="atLeast"/>
        <w:jc w:val="both"/>
      </w:pPr>
      <w:r>
        <w:t>CO</w:t>
      </w:r>
      <w:r w:rsidRPr="00D52ED5">
        <w:rPr>
          <w:vertAlign w:val="subscript"/>
        </w:rPr>
        <w:t>2</w:t>
      </w:r>
      <w:r>
        <w:t>-</w:t>
      </w:r>
      <w:r w:rsidR="00AD66A5">
        <w:t xml:space="preserve">opgørelsen </w:t>
      </w:r>
      <w:r>
        <w:t xml:space="preserve">for Aarhus Kommune som virksomhed er udarbejdet med henblik på </w:t>
      </w:r>
      <w:r w:rsidR="00EB1E83">
        <w:t xml:space="preserve">en </w:t>
      </w:r>
      <w:r>
        <w:t xml:space="preserve">opfølgning </w:t>
      </w:r>
      <w:r w:rsidR="00EB1E83">
        <w:t>af</w:t>
      </w:r>
      <w:r>
        <w:t xml:space="preserve"> Aarhus Kommune</w:t>
      </w:r>
      <w:r w:rsidR="00D31EF0">
        <w:t>s</w:t>
      </w:r>
      <w:r>
        <w:t xml:space="preserve"> </w:t>
      </w:r>
      <w:r w:rsidR="00FA0445">
        <w:t xml:space="preserve">samlede </w:t>
      </w:r>
      <w:r w:rsidR="00B86319">
        <w:t>klimaindsats</w:t>
      </w:r>
      <w:r w:rsidR="00D31EF0">
        <w:t xml:space="preserve"> samt til </w:t>
      </w:r>
      <w:r w:rsidR="00D52ED5">
        <w:t xml:space="preserve">vurdering af </w:t>
      </w:r>
      <w:r w:rsidR="00D52ED5" w:rsidRPr="00D52ED5">
        <w:t xml:space="preserve">overholdelse af </w:t>
      </w:r>
      <w:r w:rsidR="00FA0445">
        <w:t xml:space="preserve">overordnede </w:t>
      </w:r>
      <w:r w:rsidR="00EB1E83">
        <w:t>klima</w:t>
      </w:r>
      <w:r w:rsidR="00FA0445">
        <w:t>mål. D</w:t>
      </w:r>
      <w:r w:rsidR="00FA257F">
        <w:t>ette</w:t>
      </w:r>
      <w:r w:rsidR="00FA0445">
        <w:t xml:space="preserve"> mål er formuleret i </w:t>
      </w:r>
      <w:r w:rsidR="00D52ED5" w:rsidRPr="00D52ED5">
        <w:t xml:space="preserve">Klimakommune-aftalen </w:t>
      </w:r>
      <w:r w:rsidR="00FA0445">
        <w:t xml:space="preserve">som Aarhus Kommune har indgået. </w:t>
      </w:r>
      <w:r w:rsidR="00D52ED5" w:rsidRPr="00D52ED5">
        <w:t>I henhold til d</w:t>
      </w:r>
      <w:r w:rsidR="00FA257F">
        <w:t>enne</w:t>
      </w:r>
      <w:r w:rsidR="00D52ED5" w:rsidRPr="00D52ED5">
        <w:t xml:space="preserve"> skal kommunen:</w:t>
      </w:r>
    </w:p>
    <w:p w:rsidR="00D52ED5" w:rsidRPr="00D52ED5" w:rsidRDefault="00D52ED5" w:rsidP="00D52ED5">
      <w:pPr>
        <w:pStyle w:val="Listeafsnit"/>
        <w:numPr>
          <w:ilvl w:val="0"/>
          <w:numId w:val="47"/>
        </w:numPr>
        <w:autoSpaceDE w:val="0"/>
        <w:autoSpaceDN w:val="0"/>
        <w:adjustRightInd w:val="0"/>
        <w:spacing w:line="240" w:lineRule="atLeast"/>
        <w:jc w:val="both"/>
      </w:pPr>
      <w:r w:rsidRPr="00D52ED5">
        <w:t>reducere CO</w:t>
      </w:r>
      <w:r w:rsidRPr="00D52ED5">
        <w:rPr>
          <w:vertAlign w:val="subscript"/>
        </w:rPr>
        <w:t>2</w:t>
      </w:r>
      <w:r w:rsidRPr="00D52ED5">
        <w:t>-udledningen med 2 % per år for kommunen som virksomhed frem til år 2030</w:t>
      </w:r>
      <w:r w:rsidR="00FA257F">
        <w:t xml:space="preserve"> i forhold til basisår 2008.</w:t>
      </w:r>
      <w:r w:rsidRPr="00D52ED5">
        <w:t xml:space="preserve"> </w:t>
      </w:r>
    </w:p>
    <w:p w:rsidR="006001E4" w:rsidRPr="00D52ED5" w:rsidRDefault="006001E4" w:rsidP="006001E4">
      <w:pPr>
        <w:autoSpaceDE w:val="0"/>
        <w:autoSpaceDN w:val="0"/>
        <w:adjustRightInd w:val="0"/>
        <w:spacing w:line="240" w:lineRule="atLeast"/>
        <w:jc w:val="both"/>
      </w:pPr>
      <w:r>
        <w:t>Udover</w:t>
      </w:r>
      <w:r w:rsidR="002C7007">
        <w:t xml:space="preserve"> ovenstående </w:t>
      </w:r>
      <w:r w:rsidR="00FA0445">
        <w:t xml:space="preserve">overordnede </w:t>
      </w:r>
      <w:r w:rsidR="002C7007">
        <w:t xml:space="preserve">mål har Aarhus Kommune en række </w:t>
      </w:r>
      <w:r w:rsidR="00FA65A1">
        <w:t>del</w:t>
      </w:r>
      <w:r w:rsidR="002C7007">
        <w:t>mål</w:t>
      </w:r>
      <w:r w:rsidR="00FA0445">
        <w:t xml:space="preserve"> for energi</w:t>
      </w:r>
      <w:r w:rsidR="003F6B99">
        <w:t>- og CO</w:t>
      </w:r>
      <w:r w:rsidR="003F6B99" w:rsidRPr="003F6B99">
        <w:rPr>
          <w:vertAlign w:val="subscript"/>
        </w:rPr>
        <w:t>2</w:t>
      </w:r>
      <w:r w:rsidR="003F6B99">
        <w:t>-</w:t>
      </w:r>
      <w:r w:rsidR="00FA0445">
        <w:t>reduktioner</w:t>
      </w:r>
      <w:r w:rsidR="002C7007">
        <w:t xml:space="preserve">, </w:t>
      </w:r>
      <w:r w:rsidR="00CC3A24">
        <w:t>bl.a.</w:t>
      </w:r>
      <w:r w:rsidR="002C7007">
        <w:t xml:space="preserve"> </w:t>
      </w:r>
      <w:r w:rsidR="00CC3A24">
        <w:t>for</w:t>
      </w:r>
      <w:r w:rsidR="002C7007">
        <w:t xml:space="preserve"> </w:t>
      </w:r>
      <w:r w:rsidR="00CC3A24">
        <w:t xml:space="preserve">kommunale bygninger og anlæg. </w:t>
      </w:r>
      <w:r w:rsidR="00EB1E83">
        <w:t xml:space="preserve">Nærværende opgørelse </w:t>
      </w:r>
      <w:r w:rsidR="00FB181B">
        <w:t>afrapporterer ikke særskilt på disse delmål.</w:t>
      </w:r>
    </w:p>
    <w:p w:rsidR="00FA0445" w:rsidRDefault="00FB181B" w:rsidP="00FA0445">
      <w:pPr>
        <w:pStyle w:val="Brdtekst"/>
      </w:pPr>
      <w:r>
        <w:t>CO</w:t>
      </w:r>
      <w:r w:rsidRPr="007F33E6">
        <w:rPr>
          <w:sz w:val="16"/>
        </w:rPr>
        <w:t>2</w:t>
      </w:r>
      <w:r>
        <w:t xml:space="preserve">-opgørelsen </w:t>
      </w:r>
      <w:r w:rsidR="00FA0445">
        <w:t xml:space="preserve">giver </w:t>
      </w:r>
      <w:r w:rsidR="00C44C42">
        <w:t xml:space="preserve">overblik over </w:t>
      </w:r>
      <w:r w:rsidR="00FA0445">
        <w:t xml:space="preserve">den samlede </w:t>
      </w:r>
      <w:r w:rsidR="00C44C42">
        <w:t>CO</w:t>
      </w:r>
      <w:r w:rsidR="00C44C42">
        <w:rPr>
          <w:vertAlign w:val="subscript"/>
        </w:rPr>
        <w:t>2</w:t>
      </w:r>
      <w:r w:rsidR="00C44C42">
        <w:t xml:space="preserve">-udledning </w:t>
      </w:r>
      <w:r w:rsidR="00F03EB8">
        <w:t xml:space="preserve">og </w:t>
      </w:r>
      <w:r>
        <w:t xml:space="preserve">det samlede </w:t>
      </w:r>
      <w:r w:rsidR="00F03EB8">
        <w:t>energiforbrug</w:t>
      </w:r>
      <w:r w:rsidR="00FA0445">
        <w:t xml:space="preserve"> i Aarhus Kommune som virksomhed samt </w:t>
      </w:r>
      <w:r w:rsidR="00C44C42">
        <w:t xml:space="preserve">for hver Magistratsafdeling. </w:t>
      </w:r>
      <w:r>
        <w:t>O</w:t>
      </w:r>
      <w:r w:rsidR="00FA0445">
        <w:t>pgørelsen fo</w:t>
      </w:r>
      <w:r w:rsidR="00FA0445" w:rsidRPr="009F7785">
        <w:t>r 20</w:t>
      </w:r>
      <w:r w:rsidR="00FA0445">
        <w:t>1</w:t>
      </w:r>
      <w:r w:rsidR="00FA0445" w:rsidRPr="009F7785">
        <w:t>0</w:t>
      </w:r>
      <w:r w:rsidR="00FA0445">
        <w:t xml:space="preserve"> er gennemført på samme</w:t>
      </w:r>
      <w:r w:rsidR="00FA0445" w:rsidRPr="009F7785">
        <w:t xml:space="preserve"> måde i forhold til afgrænsning, allokeringer m.m. </w:t>
      </w:r>
      <w:r w:rsidR="00FA0445">
        <w:t xml:space="preserve">som de tidligere opgørelser for 2008 og 2009. </w:t>
      </w:r>
    </w:p>
    <w:p w:rsidR="00FA0445" w:rsidRDefault="00C44C42" w:rsidP="00FA0445">
      <w:pPr>
        <w:pStyle w:val="Brdtekst"/>
      </w:pPr>
      <w:r>
        <w:t xml:space="preserve">AffaldVarme Aarhus er medregnet under Magistratsafdelingen Teknik og Miljø. Århus Vand og </w:t>
      </w:r>
      <w:r w:rsidR="007C79CC">
        <w:t>Busselskabet Århus Sporveje (</w:t>
      </w:r>
      <w:r>
        <w:t>Midttrafik</w:t>
      </w:r>
      <w:r w:rsidR="007C79CC">
        <w:t>)</w:t>
      </w:r>
      <w:r>
        <w:t xml:space="preserve"> er som tidligere udregnet for sig. </w:t>
      </w:r>
      <w:r w:rsidR="00FA0445">
        <w:t xml:space="preserve">Dog er Århus Havn ikke taget med i opgørelsen for 2010. </w:t>
      </w:r>
    </w:p>
    <w:p w:rsidR="00760C9B" w:rsidRDefault="00760C9B" w:rsidP="00760C9B">
      <w:pPr>
        <w:pStyle w:val="Brdtekst"/>
        <w:spacing w:after="0"/>
      </w:pPr>
      <w:r>
        <w:t>CO</w:t>
      </w:r>
      <w:r w:rsidRPr="007F33E6">
        <w:rPr>
          <w:sz w:val="16"/>
        </w:rPr>
        <w:t>2</w:t>
      </w:r>
      <w:r>
        <w:t xml:space="preserve">-opgørelsen </w:t>
      </w:r>
      <w:r w:rsidRPr="009F7785">
        <w:t>er gennemført efter principperne i CO</w:t>
      </w:r>
      <w:r w:rsidRPr="009F7785">
        <w:rPr>
          <w:vertAlign w:val="subscript"/>
        </w:rPr>
        <w:t>2</w:t>
      </w:r>
      <w:r w:rsidRPr="009F7785">
        <w:t>-beregner</w:t>
      </w:r>
      <w:r>
        <w:t>en, som</w:t>
      </w:r>
      <w:r w:rsidRPr="009F7785">
        <w:t xml:space="preserve"> COWI og DMU har udviklet for Klimaministeriet og KL i 2008</w:t>
      </w:r>
      <w:r>
        <w:t xml:space="preserve">. </w:t>
      </w:r>
    </w:p>
    <w:p w:rsidR="00FA0445" w:rsidRDefault="00FA0445" w:rsidP="005633F6">
      <w:pPr>
        <w:pStyle w:val="Brdtekst"/>
      </w:pPr>
    </w:p>
    <w:p w:rsidR="00147B91" w:rsidRDefault="00147B91" w:rsidP="00147B91">
      <w:pPr>
        <w:pStyle w:val="Brdtekst"/>
      </w:pPr>
      <w:r>
        <w:t>CO</w:t>
      </w:r>
      <w:r w:rsidRPr="007F33E6">
        <w:rPr>
          <w:sz w:val="16"/>
        </w:rPr>
        <w:t>2</w:t>
      </w:r>
      <w:r>
        <w:t>-opgørelsen for kommunen som samfund afrapportere</w:t>
      </w:r>
      <w:r w:rsidR="00FB181B">
        <w:t>s</w:t>
      </w:r>
      <w:r>
        <w:t xml:space="preserve"> separat i anden rapport, der udarbejdes hvert andet år.</w:t>
      </w:r>
      <w:r w:rsidR="0077446F">
        <w:t xml:space="preserve"> Næste opgørelse </w:t>
      </w:r>
      <w:r w:rsidR="00FB181B">
        <w:t xml:space="preserve">for Aarhus Kommune som samfund </w:t>
      </w:r>
      <w:r w:rsidR="0077446F">
        <w:t>bliver lavet for år 2011.</w:t>
      </w:r>
    </w:p>
    <w:p w:rsidR="00C44C42" w:rsidRDefault="00C44C42">
      <w:pPr>
        <w:pStyle w:val="Brdtekst"/>
      </w:pPr>
    </w:p>
    <w:p w:rsidR="00C44C42" w:rsidRDefault="00C44C42">
      <w:pPr>
        <w:pStyle w:val="Brdtekst"/>
      </w:pPr>
    </w:p>
    <w:p w:rsidR="00147B91" w:rsidRDefault="00147B91" w:rsidP="007F33E6">
      <w:pPr>
        <w:pStyle w:val="Brdtekst"/>
        <w:spacing w:after="0"/>
      </w:pPr>
    </w:p>
    <w:p w:rsidR="00147B91" w:rsidRDefault="00147B91" w:rsidP="007F33E6">
      <w:pPr>
        <w:pStyle w:val="Brdtekst"/>
        <w:spacing w:after="0"/>
      </w:pPr>
    </w:p>
    <w:p w:rsidR="007F33E6" w:rsidRDefault="007F33E6" w:rsidP="007F33E6">
      <w:pPr>
        <w:pStyle w:val="Brdtekst"/>
        <w:spacing w:after="0"/>
      </w:pPr>
    </w:p>
    <w:p w:rsidR="007F33E6" w:rsidRDefault="007F33E6">
      <w:r>
        <w:br w:type="page"/>
      </w:r>
    </w:p>
    <w:p w:rsidR="00BA3E4B" w:rsidRPr="00FE0083" w:rsidRDefault="006B7FC5" w:rsidP="00F11BF9">
      <w:pPr>
        <w:pStyle w:val="Overskrift1"/>
        <w:numPr>
          <w:ilvl w:val="0"/>
          <w:numId w:val="12"/>
        </w:numPr>
      </w:pPr>
      <w:bookmarkStart w:id="1" w:name="_Toc300217006"/>
      <w:r>
        <w:lastRenderedPageBreak/>
        <w:t>Sammenfatning af resultater</w:t>
      </w:r>
      <w:bookmarkEnd w:id="1"/>
    </w:p>
    <w:p w:rsidR="009771E8" w:rsidRDefault="006B7FC5">
      <w:pPr>
        <w:pStyle w:val="Brdtekst"/>
        <w:rPr>
          <w:szCs w:val="23"/>
        </w:rPr>
      </w:pPr>
      <w:r>
        <w:rPr>
          <w:szCs w:val="23"/>
        </w:rPr>
        <w:t>Den samlede CO</w:t>
      </w:r>
      <w:r>
        <w:rPr>
          <w:szCs w:val="23"/>
          <w:vertAlign w:val="subscript"/>
        </w:rPr>
        <w:t>2</w:t>
      </w:r>
      <w:r>
        <w:rPr>
          <w:szCs w:val="23"/>
        </w:rPr>
        <w:t xml:space="preserve"> emission fra </w:t>
      </w:r>
      <w:r w:rsidR="006860D0">
        <w:rPr>
          <w:szCs w:val="23"/>
        </w:rPr>
        <w:t>Aarhus</w:t>
      </w:r>
      <w:r>
        <w:rPr>
          <w:szCs w:val="23"/>
        </w:rPr>
        <w:t xml:space="preserve"> Kommune som virksomhed er </w:t>
      </w:r>
      <w:r w:rsidRPr="006B7FC5">
        <w:rPr>
          <w:szCs w:val="23"/>
        </w:rPr>
        <w:t xml:space="preserve">for </w:t>
      </w:r>
      <w:r w:rsidR="009771E8">
        <w:rPr>
          <w:szCs w:val="23"/>
        </w:rPr>
        <w:t>2010 opgjort</w:t>
      </w:r>
      <w:r>
        <w:rPr>
          <w:szCs w:val="23"/>
        </w:rPr>
        <w:t xml:space="preserve"> til </w:t>
      </w:r>
      <w:r w:rsidR="00DF66DF">
        <w:rPr>
          <w:szCs w:val="23"/>
        </w:rPr>
        <w:t>12</w:t>
      </w:r>
      <w:r w:rsidR="00B7535C">
        <w:rPr>
          <w:szCs w:val="23"/>
        </w:rPr>
        <w:t>0</w:t>
      </w:r>
      <w:r w:rsidR="009771E8">
        <w:rPr>
          <w:szCs w:val="23"/>
        </w:rPr>
        <w:t>.</w:t>
      </w:r>
      <w:r w:rsidR="00680766">
        <w:rPr>
          <w:szCs w:val="23"/>
        </w:rPr>
        <w:t>0</w:t>
      </w:r>
      <w:r w:rsidR="00C44C42">
        <w:rPr>
          <w:szCs w:val="23"/>
        </w:rPr>
        <w:t>00</w:t>
      </w:r>
      <w:r>
        <w:rPr>
          <w:color w:val="FF0000"/>
          <w:szCs w:val="23"/>
        </w:rPr>
        <w:t xml:space="preserve"> </w:t>
      </w:r>
      <w:r>
        <w:rPr>
          <w:szCs w:val="23"/>
        </w:rPr>
        <w:t>tons</w:t>
      </w:r>
      <w:r w:rsidR="009771E8">
        <w:rPr>
          <w:szCs w:val="23"/>
        </w:rPr>
        <w:t>. Heraf indgår en CO</w:t>
      </w:r>
      <w:r w:rsidR="009771E8" w:rsidRPr="00D373C9">
        <w:rPr>
          <w:szCs w:val="23"/>
          <w:vertAlign w:val="subscript"/>
        </w:rPr>
        <w:t>2</w:t>
      </w:r>
      <w:r w:rsidR="009771E8">
        <w:rPr>
          <w:szCs w:val="23"/>
        </w:rPr>
        <w:t xml:space="preserve">-udledning på godt 20.000 ton fra </w:t>
      </w:r>
      <w:r w:rsidR="00616B62">
        <w:rPr>
          <w:szCs w:val="23"/>
        </w:rPr>
        <w:t>Busselskabet Aarhus Sporveje (Mi</w:t>
      </w:r>
      <w:r w:rsidR="009771E8">
        <w:rPr>
          <w:szCs w:val="23"/>
        </w:rPr>
        <w:t>dttrafik</w:t>
      </w:r>
      <w:r w:rsidR="00616B62">
        <w:rPr>
          <w:szCs w:val="23"/>
        </w:rPr>
        <w:t>)</w:t>
      </w:r>
      <w:r w:rsidR="009771E8">
        <w:rPr>
          <w:szCs w:val="23"/>
        </w:rPr>
        <w:t xml:space="preserve">. </w:t>
      </w:r>
    </w:p>
    <w:p w:rsidR="00616B62" w:rsidRDefault="009771E8">
      <w:pPr>
        <w:pStyle w:val="Brdtekst"/>
        <w:rPr>
          <w:szCs w:val="23"/>
        </w:rPr>
      </w:pPr>
      <w:r>
        <w:rPr>
          <w:szCs w:val="23"/>
        </w:rPr>
        <w:t xml:space="preserve">Fordelingen på Magistratsafdelinger </w:t>
      </w:r>
      <w:r w:rsidR="00616B62">
        <w:rPr>
          <w:szCs w:val="23"/>
        </w:rPr>
        <w:t>samt</w:t>
      </w:r>
      <w:r>
        <w:rPr>
          <w:szCs w:val="23"/>
        </w:rPr>
        <w:t xml:space="preserve"> andre </w:t>
      </w:r>
      <w:r w:rsidR="00656CC6">
        <w:rPr>
          <w:szCs w:val="23"/>
        </w:rPr>
        <w:t xml:space="preserve">kommunalt </w:t>
      </w:r>
      <w:r w:rsidR="00221E6D">
        <w:rPr>
          <w:szCs w:val="23"/>
        </w:rPr>
        <w:t>helt/</w:t>
      </w:r>
      <w:r w:rsidR="00656CC6">
        <w:rPr>
          <w:szCs w:val="23"/>
        </w:rPr>
        <w:t>delvist kommunalt ejet selskaber</w:t>
      </w:r>
      <w:r>
        <w:rPr>
          <w:szCs w:val="23"/>
        </w:rPr>
        <w:t xml:space="preserve"> er </w:t>
      </w:r>
      <w:r w:rsidR="00EA7996">
        <w:rPr>
          <w:szCs w:val="23"/>
        </w:rPr>
        <w:t>vist i nedenstående figur 2</w:t>
      </w:r>
      <w:r w:rsidR="006B7FC5">
        <w:rPr>
          <w:szCs w:val="23"/>
        </w:rPr>
        <w:t xml:space="preserve">.1 og tabel </w:t>
      </w:r>
      <w:r w:rsidR="00EA7996">
        <w:rPr>
          <w:szCs w:val="23"/>
        </w:rPr>
        <w:t>2</w:t>
      </w:r>
      <w:r w:rsidR="006B7FC5">
        <w:rPr>
          <w:szCs w:val="23"/>
        </w:rPr>
        <w:t>.1.</w:t>
      </w:r>
    </w:p>
    <w:p w:rsidR="00616B62" w:rsidRDefault="002A48FC">
      <w:pPr>
        <w:pStyle w:val="Billedtekst"/>
        <w:rPr>
          <w:color w:val="auto"/>
          <w:szCs w:val="21"/>
        </w:rPr>
      </w:pPr>
      <w:r>
        <w:rPr>
          <w:noProof/>
          <w:color w:val="auto"/>
          <w:szCs w:val="21"/>
          <w:lang w:eastAsia="da-DK"/>
        </w:rPr>
        <w:drawing>
          <wp:anchor distT="0" distB="0" distL="114300" distR="114300" simplePos="0" relativeHeight="251710464" behindDoc="0" locked="0" layoutInCell="1" allowOverlap="1">
            <wp:simplePos x="0" y="0"/>
            <wp:positionH relativeFrom="column">
              <wp:posOffset>14605</wp:posOffset>
            </wp:positionH>
            <wp:positionV relativeFrom="paragraph">
              <wp:posOffset>356870</wp:posOffset>
            </wp:positionV>
            <wp:extent cx="5018405" cy="3752215"/>
            <wp:effectExtent l="19050" t="0" r="10795" b="635"/>
            <wp:wrapTopAndBottom/>
            <wp:docPr id="5"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A3E4B" w:rsidRDefault="00EA7996">
      <w:pPr>
        <w:pStyle w:val="Billedtekst"/>
        <w:rPr>
          <w:color w:val="auto"/>
          <w:szCs w:val="21"/>
        </w:rPr>
      </w:pPr>
      <w:r>
        <w:rPr>
          <w:color w:val="auto"/>
          <w:szCs w:val="21"/>
        </w:rPr>
        <w:t>Fig. 2</w:t>
      </w:r>
      <w:r w:rsidR="006B7FC5" w:rsidRPr="00D373C9">
        <w:rPr>
          <w:color w:val="auto"/>
          <w:szCs w:val="21"/>
        </w:rPr>
        <w:t>.1 Fordeling af den samlede CO</w:t>
      </w:r>
      <w:r w:rsidR="006B7FC5" w:rsidRPr="00D373C9">
        <w:rPr>
          <w:color w:val="auto"/>
          <w:szCs w:val="21"/>
          <w:vertAlign w:val="subscript"/>
        </w:rPr>
        <w:t xml:space="preserve">2 </w:t>
      </w:r>
      <w:r w:rsidR="009771E8" w:rsidRPr="00D373C9">
        <w:rPr>
          <w:color w:val="auto"/>
          <w:szCs w:val="21"/>
        </w:rPr>
        <w:t>udledning</w:t>
      </w:r>
      <w:r w:rsidR="006B7FC5" w:rsidRPr="00D373C9">
        <w:rPr>
          <w:color w:val="auto"/>
          <w:szCs w:val="21"/>
        </w:rPr>
        <w:t xml:space="preserve"> for </w:t>
      </w:r>
      <w:r w:rsidR="006860D0" w:rsidRPr="00D373C9">
        <w:rPr>
          <w:color w:val="auto"/>
          <w:szCs w:val="21"/>
        </w:rPr>
        <w:t>Aarhus</w:t>
      </w:r>
      <w:r w:rsidR="006B7FC5" w:rsidRPr="00D373C9">
        <w:rPr>
          <w:color w:val="auto"/>
          <w:szCs w:val="21"/>
        </w:rPr>
        <w:t xml:space="preserve"> Kommune som virksomhed i 20</w:t>
      </w:r>
      <w:r w:rsidR="009771E8" w:rsidRPr="00D373C9">
        <w:rPr>
          <w:color w:val="auto"/>
          <w:szCs w:val="21"/>
        </w:rPr>
        <w:t xml:space="preserve">10 </w:t>
      </w:r>
      <w:r w:rsidR="006B7FC5" w:rsidRPr="00D373C9">
        <w:rPr>
          <w:color w:val="auto"/>
          <w:szCs w:val="21"/>
        </w:rPr>
        <w:t>på Magistrat</w:t>
      </w:r>
      <w:r w:rsidR="00DF66DF" w:rsidRPr="00D373C9">
        <w:rPr>
          <w:color w:val="auto"/>
          <w:szCs w:val="21"/>
        </w:rPr>
        <w:t>safdelinger</w:t>
      </w:r>
      <w:r w:rsidR="002F181A" w:rsidRPr="00D373C9">
        <w:rPr>
          <w:color w:val="auto"/>
          <w:szCs w:val="21"/>
        </w:rPr>
        <w:t xml:space="preserve">, </w:t>
      </w:r>
      <w:r w:rsidR="002F181A" w:rsidRPr="00D373C9">
        <w:rPr>
          <w:color w:val="auto"/>
        </w:rPr>
        <w:t>Borgmesterens afdeling</w:t>
      </w:r>
      <w:r w:rsidR="00D373C9">
        <w:rPr>
          <w:color w:val="auto"/>
        </w:rPr>
        <w:t xml:space="preserve"> </w:t>
      </w:r>
      <w:r w:rsidR="002F181A" w:rsidRPr="00D373C9">
        <w:rPr>
          <w:color w:val="auto"/>
        </w:rPr>
        <w:t>samt</w:t>
      </w:r>
      <w:r w:rsidR="006B7FC5" w:rsidRPr="00D373C9">
        <w:rPr>
          <w:color w:val="auto"/>
          <w:szCs w:val="21"/>
        </w:rPr>
        <w:t xml:space="preserve"> kommunalt ejede eller delvist kommunalt ejede selskaber. Tal er afrundet til nærmeste hele procent, hvorfor Borgmesterens afd. ved nedrunding ser ud til at have nul udledning.</w:t>
      </w:r>
    </w:p>
    <w:p w:rsidR="002A48FC" w:rsidRPr="002A48FC" w:rsidRDefault="002A48FC" w:rsidP="002A48FC"/>
    <w:tbl>
      <w:tblPr>
        <w:tblW w:w="6866" w:type="dxa"/>
        <w:tblInd w:w="70" w:type="dxa"/>
        <w:tblCellMar>
          <w:left w:w="70" w:type="dxa"/>
          <w:right w:w="70" w:type="dxa"/>
        </w:tblCellMar>
        <w:tblLook w:val="04A0"/>
      </w:tblPr>
      <w:tblGrid>
        <w:gridCol w:w="6666"/>
        <w:gridCol w:w="1536"/>
      </w:tblGrid>
      <w:tr w:rsidR="00DF66DF" w:rsidRPr="00DF66DF" w:rsidTr="00DF66DF">
        <w:trPr>
          <w:trHeight w:val="285"/>
        </w:trPr>
        <w:tc>
          <w:tcPr>
            <w:tcW w:w="5330" w:type="dxa"/>
            <w:tcBorders>
              <w:top w:val="nil"/>
              <w:left w:val="nil"/>
              <w:bottom w:val="nil"/>
              <w:right w:val="nil"/>
            </w:tcBorders>
            <w:shd w:val="clear" w:color="auto" w:fill="auto"/>
            <w:noWrap/>
            <w:vAlign w:val="bottom"/>
            <w:hideMark/>
          </w:tcPr>
          <w:tbl>
            <w:tblPr>
              <w:tblpPr w:leftFromText="141" w:rightFromText="141" w:vertAnchor="text" w:horzAnchor="margin" w:tblpY="77"/>
              <w:tblW w:w="6516" w:type="dxa"/>
              <w:tblCellMar>
                <w:left w:w="70" w:type="dxa"/>
                <w:right w:w="70" w:type="dxa"/>
              </w:tblCellMar>
              <w:tblLook w:val="04A0"/>
            </w:tblPr>
            <w:tblGrid>
              <w:gridCol w:w="3200"/>
              <w:gridCol w:w="1698"/>
              <w:gridCol w:w="1618"/>
            </w:tblGrid>
            <w:tr w:rsidR="00DF66DF" w:rsidTr="005E244B">
              <w:trPr>
                <w:trHeight w:val="300"/>
              </w:trPr>
              <w:tc>
                <w:tcPr>
                  <w:tcW w:w="32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DF66DF" w:rsidRPr="005859AC" w:rsidRDefault="006860D0" w:rsidP="00697E43">
                  <w:pPr>
                    <w:spacing w:after="0" w:line="240" w:lineRule="auto"/>
                    <w:rPr>
                      <w:b/>
                      <w:szCs w:val="23"/>
                    </w:rPr>
                  </w:pPr>
                  <w:r>
                    <w:rPr>
                      <w:b/>
                      <w:szCs w:val="23"/>
                    </w:rPr>
                    <w:t>Aarhus</w:t>
                  </w:r>
                  <w:r w:rsidR="00DF66DF" w:rsidRPr="005859AC">
                    <w:rPr>
                      <w:b/>
                      <w:szCs w:val="23"/>
                    </w:rPr>
                    <w:t xml:space="preserve"> Kommune</w:t>
                  </w:r>
                </w:p>
              </w:tc>
              <w:tc>
                <w:tcPr>
                  <w:tcW w:w="169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DF66DF" w:rsidRPr="005859AC" w:rsidRDefault="00DF66DF" w:rsidP="00697E43">
                  <w:pPr>
                    <w:spacing w:after="0" w:line="240" w:lineRule="auto"/>
                    <w:rPr>
                      <w:b/>
                      <w:szCs w:val="23"/>
                    </w:rPr>
                  </w:pPr>
                  <w:r w:rsidRPr="005859AC">
                    <w:rPr>
                      <w:b/>
                      <w:szCs w:val="23"/>
                    </w:rPr>
                    <w:t>Ton CO</w:t>
                  </w:r>
                  <w:r w:rsidRPr="00D373C9">
                    <w:rPr>
                      <w:b/>
                      <w:szCs w:val="23"/>
                      <w:vertAlign w:val="subscript"/>
                    </w:rPr>
                    <w:t>2</w:t>
                  </w:r>
                </w:p>
              </w:tc>
              <w:tc>
                <w:tcPr>
                  <w:tcW w:w="161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DF66DF" w:rsidRPr="005859AC" w:rsidRDefault="00DF66DF" w:rsidP="00697E43">
                  <w:pPr>
                    <w:spacing w:after="0" w:line="240" w:lineRule="auto"/>
                    <w:rPr>
                      <w:b/>
                      <w:szCs w:val="23"/>
                    </w:rPr>
                  </w:pPr>
                  <w:r w:rsidRPr="005859AC">
                    <w:rPr>
                      <w:b/>
                      <w:szCs w:val="23"/>
                    </w:rPr>
                    <w:t>% af total</w:t>
                  </w:r>
                  <w:r w:rsidR="002B59DD">
                    <w:rPr>
                      <w:b/>
                      <w:szCs w:val="23"/>
                    </w:rPr>
                    <w:t xml:space="preserve"> CO</w:t>
                  </w:r>
                  <w:r w:rsidR="002B59DD" w:rsidRPr="00D373C9">
                    <w:rPr>
                      <w:b/>
                      <w:szCs w:val="23"/>
                      <w:vertAlign w:val="subscript"/>
                    </w:rPr>
                    <w:t>2</w:t>
                  </w:r>
                </w:p>
              </w:tc>
            </w:tr>
            <w:tr w:rsidR="00C44C42" w:rsidTr="005E244B">
              <w:trPr>
                <w:trHeight w:val="381"/>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C44C42" w:rsidRPr="009771E8" w:rsidRDefault="00C44C42" w:rsidP="00C44C42">
                  <w:pPr>
                    <w:rPr>
                      <w:rFonts w:ascii="Arial" w:hAnsi="Arial" w:cs="Arial"/>
                      <w:iCs/>
                      <w:color w:val="000000"/>
                    </w:rPr>
                  </w:pPr>
                  <w:r w:rsidRPr="009771E8">
                    <w:rPr>
                      <w:rFonts w:ascii="Arial" w:hAnsi="Arial" w:cs="Arial"/>
                      <w:iCs/>
                      <w:color w:val="000000"/>
                    </w:rPr>
                    <w:t>Borgmesterens afdeling</w:t>
                  </w:r>
                </w:p>
              </w:tc>
              <w:tc>
                <w:tcPr>
                  <w:tcW w:w="1698" w:type="dxa"/>
                  <w:tcBorders>
                    <w:top w:val="nil"/>
                    <w:left w:val="nil"/>
                    <w:bottom w:val="single" w:sz="4" w:space="0" w:color="auto"/>
                    <w:right w:val="single" w:sz="4" w:space="0" w:color="auto"/>
                  </w:tcBorders>
                  <w:shd w:val="clear" w:color="auto" w:fill="auto"/>
                  <w:noWrap/>
                  <w:vAlign w:val="bottom"/>
                  <w:hideMark/>
                </w:tcPr>
                <w:p w:rsidR="00C44C42" w:rsidRPr="00F405F8" w:rsidRDefault="00EB25A0" w:rsidP="00C44C42">
                  <w:pPr>
                    <w:jc w:val="right"/>
                    <w:rPr>
                      <w:rFonts w:ascii="Arial" w:hAnsi="Arial" w:cs="Arial"/>
                      <w:iCs/>
                      <w:color w:val="000000"/>
                    </w:rPr>
                  </w:pPr>
                  <w:r>
                    <w:rPr>
                      <w:rFonts w:ascii="Arial" w:hAnsi="Arial" w:cs="Arial"/>
                      <w:iCs/>
                      <w:color w:val="000000"/>
                    </w:rPr>
                    <w:t>150</w:t>
                  </w:r>
                </w:p>
              </w:tc>
              <w:tc>
                <w:tcPr>
                  <w:tcW w:w="1618" w:type="dxa"/>
                  <w:tcBorders>
                    <w:top w:val="nil"/>
                    <w:left w:val="nil"/>
                    <w:bottom w:val="single" w:sz="4" w:space="0" w:color="auto"/>
                    <w:right w:val="single" w:sz="4" w:space="0" w:color="auto"/>
                  </w:tcBorders>
                  <w:shd w:val="clear" w:color="auto" w:fill="auto"/>
                  <w:noWrap/>
                  <w:vAlign w:val="bottom"/>
                  <w:hideMark/>
                </w:tcPr>
                <w:p w:rsidR="00C44C42" w:rsidRDefault="00C44C42" w:rsidP="00C44C42">
                  <w:pPr>
                    <w:jc w:val="center"/>
                    <w:rPr>
                      <w:rFonts w:ascii="Arial" w:hAnsi="Arial" w:cs="Arial"/>
                      <w:color w:val="000000"/>
                    </w:rPr>
                  </w:pPr>
                  <w:r>
                    <w:rPr>
                      <w:rFonts w:ascii="Arial" w:hAnsi="Arial" w:cs="Arial"/>
                      <w:color w:val="000000"/>
                    </w:rPr>
                    <w:t>0,1 %</w:t>
                  </w:r>
                </w:p>
              </w:tc>
            </w:tr>
            <w:tr w:rsidR="00C44C42" w:rsidTr="005E244B">
              <w:trPr>
                <w:trHeight w:val="28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C44C42" w:rsidRPr="009771E8" w:rsidRDefault="00C44C42" w:rsidP="00C44C42">
                  <w:pPr>
                    <w:rPr>
                      <w:rFonts w:ascii="Arial" w:hAnsi="Arial" w:cs="Arial"/>
                      <w:iCs/>
                      <w:color w:val="000000"/>
                    </w:rPr>
                  </w:pPr>
                  <w:r w:rsidRPr="009771E8">
                    <w:rPr>
                      <w:rFonts w:ascii="Arial" w:hAnsi="Arial" w:cs="Arial"/>
                      <w:iCs/>
                      <w:color w:val="000000"/>
                    </w:rPr>
                    <w:t>Børn og Unge</w:t>
                  </w:r>
                </w:p>
              </w:tc>
              <w:tc>
                <w:tcPr>
                  <w:tcW w:w="1698" w:type="dxa"/>
                  <w:tcBorders>
                    <w:top w:val="nil"/>
                    <w:left w:val="nil"/>
                    <w:bottom w:val="single" w:sz="4" w:space="0" w:color="auto"/>
                    <w:right w:val="single" w:sz="4" w:space="0" w:color="auto"/>
                  </w:tcBorders>
                  <w:shd w:val="clear" w:color="auto" w:fill="auto"/>
                  <w:noWrap/>
                  <w:vAlign w:val="bottom"/>
                  <w:hideMark/>
                </w:tcPr>
                <w:p w:rsidR="00C44C42" w:rsidRPr="00F405F8" w:rsidRDefault="00C44C42" w:rsidP="00C44C42">
                  <w:pPr>
                    <w:jc w:val="right"/>
                    <w:rPr>
                      <w:rFonts w:ascii="Arial" w:hAnsi="Arial" w:cs="Arial"/>
                      <w:iCs/>
                      <w:color w:val="000000"/>
                    </w:rPr>
                  </w:pPr>
                  <w:r w:rsidRPr="00F405F8">
                    <w:rPr>
                      <w:rFonts w:ascii="Arial" w:hAnsi="Arial" w:cs="Arial"/>
                      <w:iCs/>
                      <w:color w:val="000000"/>
                    </w:rPr>
                    <w:t>21.</w:t>
                  </w:r>
                  <w:r>
                    <w:rPr>
                      <w:rFonts w:ascii="Arial" w:hAnsi="Arial" w:cs="Arial"/>
                      <w:iCs/>
                      <w:color w:val="000000"/>
                    </w:rPr>
                    <w:t>200</w:t>
                  </w:r>
                </w:p>
              </w:tc>
              <w:tc>
                <w:tcPr>
                  <w:tcW w:w="1618" w:type="dxa"/>
                  <w:tcBorders>
                    <w:top w:val="nil"/>
                    <w:left w:val="nil"/>
                    <w:bottom w:val="single" w:sz="4" w:space="0" w:color="auto"/>
                    <w:right w:val="single" w:sz="4" w:space="0" w:color="auto"/>
                  </w:tcBorders>
                  <w:shd w:val="clear" w:color="auto" w:fill="auto"/>
                  <w:noWrap/>
                  <w:vAlign w:val="bottom"/>
                  <w:hideMark/>
                </w:tcPr>
                <w:p w:rsidR="00C44C42" w:rsidRDefault="00C44C42" w:rsidP="00C44C42">
                  <w:pPr>
                    <w:jc w:val="center"/>
                    <w:rPr>
                      <w:rFonts w:ascii="Arial" w:hAnsi="Arial" w:cs="Arial"/>
                      <w:color w:val="000000"/>
                    </w:rPr>
                  </w:pPr>
                  <w:r>
                    <w:rPr>
                      <w:rFonts w:ascii="Arial" w:hAnsi="Arial" w:cs="Arial"/>
                      <w:color w:val="000000"/>
                    </w:rPr>
                    <w:t>17 %</w:t>
                  </w:r>
                </w:p>
              </w:tc>
            </w:tr>
            <w:tr w:rsidR="00C44C42" w:rsidTr="005E244B">
              <w:trPr>
                <w:trHeight w:val="28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C44C42" w:rsidRPr="009771E8" w:rsidRDefault="00C44C42" w:rsidP="00C44C42">
                  <w:pPr>
                    <w:rPr>
                      <w:rFonts w:ascii="Arial" w:hAnsi="Arial" w:cs="Arial"/>
                      <w:iCs/>
                      <w:color w:val="000000"/>
                    </w:rPr>
                  </w:pPr>
                  <w:r w:rsidRPr="009771E8">
                    <w:rPr>
                      <w:rFonts w:ascii="Arial" w:hAnsi="Arial" w:cs="Arial"/>
                      <w:iCs/>
                      <w:color w:val="000000"/>
                    </w:rPr>
                    <w:t>Kultur og Borgerservice</w:t>
                  </w:r>
                </w:p>
              </w:tc>
              <w:tc>
                <w:tcPr>
                  <w:tcW w:w="1698" w:type="dxa"/>
                  <w:tcBorders>
                    <w:top w:val="nil"/>
                    <w:left w:val="nil"/>
                    <w:bottom w:val="single" w:sz="4" w:space="0" w:color="auto"/>
                    <w:right w:val="single" w:sz="4" w:space="0" w:color="auto"/>
                  </w:tcBorders>
                  <w:shd w:val="clear" w:color="auto" w:fill="auto"/>
                  <w:noWrap/>
                  <w:vAlign w:val="bottom"/>
                  <w:hideMark/>
                </w:tcPr>
                <w:p w:rsidR="00C44C42" w:rsidRPr="00F405F8" w:rsidRDefault="00EB25A0" w:rsidP="00C44C42">
                  <w:pPr>
                    <w:jc w:val="right"/>
                    <w:rPr>
                      <w:rFonts w:ascii="Arial" w:hAnsi="Arial" w:cs="Arial"/>
                      <w:iCs/>
                      <w:color w:val="000000"/>
                    </w:rPr>
                  </w:pPr>
                  <w:r>
                    <w:rPr>
                      <w:rFonts w:ascii="Arial" w:hAnsi="Arial" w:cs="Arial"/>
                      <w:iCs/>
                      <w:color w:val="000000"/>
                    </w:rPr>
                    <w:t>11.200</w:t>
                  </w:r>
                </w:p>
              </w:tc>
              <w:tc>
                <w:tcPr>
                  <w:tcW w:w="1618" w:type="dxa"/>
                  <w:tcBorders>
                    <w:top w:val="nil"/>
                    <w:left w:val="nil"/>
                    <w:bottom w:val="single" w:sz="4" w:space="0" w:color="auto"/>
                    <w:right w:val="single" w:sz="4" w:space="0" w:color="auto"/>
                  </w:tcBorders>
                  <w:shd w:val="clear" w:color="auto" w:fill="auto"/>
                  <w:noWrap/>
                  <w:vAlign w:val="bottom"/>
                  <w:hideMark/>
                </w:tcPr>
                <w:p w:rsidR="00C44C42" w:rsidRDefault="00C44C42" w:rsidP="00C44C42">
                  <w:pPr>
                    <w:jc w:val="center"/>
                    <w:rPr>
                      <w:rFonts w:ascii="Arial" w:hAnsi="Arial" w:cs="Arial"/>
                      <w:color w:val="000000"/>
                    </w:rPr>
                  </w:pPr>
                  <w:r>
                    <w:rPr>
                      <w:rFonts w:ascii="Arial" w:hAnsi="Arial" w:cs="Arial"/>
                      <w:color w:val="000000"/>
                    </w:rPr>
                    <w:t>14 %</w:t>
                  </w:r>
                </w:p>
              </w:tc>
            </w:tr>
            <w:tr w:rsidR="00C44C42" w:rsidTr="005E244B">
              <w:trPr>
                <w:trHeight w:val="28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C44C42" w:rsidRPr="009771E8" w:rsidRDefault="00C44C42" w:rsidP="00C44C42">
                  <w:pPr>
                    <w:rPr>
                      <w:rFonts w:ascii="Arial" w:hAnsi="Arial" w:cs="Arial"/>
                      <w:iCs/>
                      <w:color w:val="000000"/>
                    </w:rPr>
                  </w:pPr>
                  <w:r w:rsidRPr="009771E8">
                    <w:rPr>
                      <w:rFonts w:ascii="Arial" w:hAnsi="Arial" w:cs="Arial"/>
                      <w:iCs/>
                      <w:color w:val="000000"/>
                    </w:rPr>
                    <w:t>Social og Beskæftigelse</w:t>
                  </w:r>
                </w:p>
              </w:tc>
              <w:tc>
                <w:tcPr>
                  <w:tcW w:w="1698" w:type="dxa"/>
                  <w:tcBorders>
                    <w:top w:val="nil"/>
                    <w:left w:val="nil"/>
                    <w:bottom w:val="single" w:sz="4" w:space="0" w:color="auto"/>
                    <w:right w:val="single" w:sz="4" w:space="0" w:color="auto"/>
                  </w:tcBorders>
                  <w:shd w:val="clear" w:color="auto" w:fill="auto"/>
                  <w:noWrap/>
                  <w:vAlign w:val="bottom"/>
                  <w:hideMark/>
                </w:tcPr>
                <w:p w:rsidR="00C44C42" w:rsidRPr="00F405F8" w:rsidRDefault="00C44C42" w:rsidP="00C44C42">
                  <w:pPr>
                    <w:jc w:val="right"/>
                    <w:rPr>
                      <w:rFonts w:ascii="Arial" w:hAnsi="Arial" w:cs="Arial"/>
                      <w:iCs/>
                      <w:color w:val="000000"/>
                    </w:rPr>
                  </w:pPr>
                  <w:r w:rsidRPr="00F405F8">
                    <w:rPr>
                      <w:rFonts w:ascii="Arial" w:hAnsi="Arial" w:cs="Arial"/>
                      <w:iCs/>
                      <w:color w:val="000000"/>
                    </w:rPr>
                    <w:t>7.2</w:t>
                  </w:r>
                  <w:r>
                    <w:rPr>
                      <w:rFonts w:ascii="Arial" w:hAnsi="Arial" w:cs="Arial"/>
                      <w:iCs/>
                      <w:color w:val="000000"/>
                    </w:rPr>
                    <w:t>00</w:t>
                  </w:r>
                </w:p>
              </w:tc>
              <w:tc>
                <w:tcPr>
                  <w:tcW w:w="1618" w:type="dxa"/>
                  <w:tcBorders>
                    <w:top w:val="nil"/>
                    <w:left w:val="nil"/>
                    <w:bottom w:val="single" w:sz="4" w:space="0" w:color="auto"/>
                    <w:right w:val="single" w:sz="4" w:space="0" w:color="auto"/>
                  </w:tcBorders>
                  <w:shd w:val="clear" w:color="auto" w:fill="auto"/>
                  <w:noWrap/>
                  <w:vAlign w:val="bottom"/>
                  <w:hideMark/>
                </w:tcPr>
                <w:p w:rsidR="00C44C42" w:rsidRDefault="00C44C42" w:rsidP="00C44C42">
                  <w:pPr>
                    <w:jc w:val="center"/>
                    <w:rPr>
                      <w:rFonts w:ascii="Arial" w:hAnsi="Arial" w:cs="Arial"/>
                      <w:color w:val="000000"/>
                    </w:rPr>
                  </w:pPr>
                  <w:r>
                    <w:rPr>
                      <w:rFonts w:ascii="Arial" w:hAnsi="Arial" w:cs="Arial"/>
                      <w:color w:val="000000"/>
                    </w:rPr>
                    <w:t>6 %</w:t>
                  </w:r>
                </w:p>
              </w:tc>
            </w:tr>
            <w:tr w:rsidR="00C44C42" w:rsidTr="005E244B">
              <w:trPr>
                <w:trHeight w:val="28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C44C42" w:rsidRPr="009771E8" w:rsidRDefault="00C44C42" w:rsidP="00C44C42">
                  <w:pPr>
                    <w:rPr>
                      <w:rFonts w:ascii="Arial" w:hAnsi="Arial" w:cs="Arial"/>
                      <w:iCs/>
                      <w:color w:val="000000"/>
                    </w:rPr>
                  </w:pPr>
                  <w:r w:rsidRPr="009771E8">
                    <w:rPr>
                      <w:rFonts w:ascii="Arial" w:hAnsi="Arial" w:cs="Arial"/>
                      <w:iCs/>
                      <w:color w:val="000000"/>
                    </w:rPr>
                    <w:t>Sundhed og Omsorg</w:t>
                  </w:r>
                </w:p>
              </w:tc>
              <w:tc>
                <w:tcPr>
                  <w:tcW w:w="1698" w:type="dxa"/>
                  <w:tcBorders>
                    <w:top w:val="nil"/>
                    <w:left w:val="nil"/>
                    <w:bottom w:val="single" w:sz="4" w:space="0" w:color="auto"/>
                    <w:right w:val="single" w:sz="4" w:space="0" w:color="auto"/>
                  </w:tcBorders>
                  <w:shd w:val="clear" w:color="auto" w:fill="auto"/>
                  <w:noWrap/>
                  <w:vAlign w:val="bottom"/>
                  <w:hideMark/>
                </w:tcPr>
                <w:p w:rsidR="00C44C42" w:rsidRPr="00F405F8" w:rsidRDefault="00C44C42" w:rsidP="00C44C42">
                  <w:pPr>
                    <w:jc w:val="right"/>
                    <w:rPr>
                      <w:rFonts w:ascii="Arial" w:hAnsi="Arial" w:cs="Arial"/>
                      <w:iCs/>
                      <w:color w:val="000000"/>
                    </w:rPr>
                  </w:pPr>
                  <w:r w:rsidRPr="00F405F8">
                    <w:rPr>
                      <w:rFonts w:ascii="Arial" w:hAnsi="Arial" w:cs="Arial"/>
                      <w:iCs/>
                      <w:color w:val="000000"/>
                    </w:rPr>
                    <w:t>15.6</w:t>
                  </w:r>
                  <w:r>
                    <w:rPr>
                      <w:rFonts w:ascii="Arial" w:hAnsi="Arial" w:cs="Arial"/>
                      <w:iCs/>
                      <w:color w:val="000000"/>
                    </w:rPr>
                    <w:t>00</w:t>
                  </w:r>
                </w:p>
              </w:tc>
              <w:tc>
                <w:tcPr>
                  <w:tcW w:w="1618" w:type="dxa"/>
                  <w:tcBorders>
                    <w:top w:val="nil"/>
                    <w:left w:val="nil"/>
                    <w:bottom w:val="single" w:sz="4" w:space="0" w:color="auto"/>
                    <w:right w:val="single" w:sz="4" w:space="0" w:color="auto"/>
                  </w:tcBorders>
                  <w:shd w:val="clear" w:color="auto" w:fill="auto"/>
                  <w:noWrap/>
                  <w:vAlign w:val="bottom"/>
                  <w:hideMark/>
                </w:tcPr>
                <w:p w:rsidR="00C44C42" w:rsidRDefault="00C44C42" w:rsidP="00C44C42">
                  <w:pPr>
                    <w:jc w:val="center"/>
                    <w:rPr>
                      <w:rFonts w:ascii="Arial" w:hAnsi="Arial" w:cs="Arial"/>
                      <w:color w:val="000000"/>
                    </w:rPr>
                  </w:pPr>
                  <w:r>
                    <w:rPr>
                      <w:rFonts w:ascii="Arial" w:hAnsi="Arial" w:cs="Arial"/>
                      <w:color w:val="000000"/>
                    </w:rPr>
                    <w:t>12 %</w:t>
                  </w:r>
                </w:p>
              </w:tc>
            </w:tr>
            <w:tr w:rsidR="00C44C42" w:rsidTr="005E244B">
              <w:trPr>
                <w:trHeight w:val="28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C44C42" w:rsidRPr="009771E8" w:rsidRDefault="00C44C42" w:rsidP="00C44C42">
                  <w:pPr>
                    <w:rPr>
                      <w:rFonts w:ascii="Arial" w:hAnsi="Arial" w:cs="Arial"/>
                      <w:iCs/>
                      <w:color w:val="000000"/>
                    </w:rPr>
                  </w:pPr>
                  <w:r w:rsidRPr="009771E8">
                    <w:rPr>
                      <w:rFonts w:ascii="Arial" w:hAnsi="Arial" w:cs="Arial"/>
                      <w:iCs/>
                      <w:color w:val="000000"/>
                    </w:rPr>
                    <w:t>Teknik og Miljø</w:t>
                  </w:r>
                </w:p>
              </w:tc>
              <w:tc>
                <w:tcPr>
                  <w:tcW w:w="1698" w:type="dxa"/>
                  <w:tcBorders>
                    <w:top w:val="nil"/>
                    <w:left w:val="nil"/>
                    <w:bottom w:val="single" w:sz="4" w:space="0" w:color="auto"/>
                    <w:right w:val="single" w:sz="4" w:space="0" w:color="auto"/>
                  </w:tcBorders>
                  <w:shd w:val="clear" w:color="auto" w:fill="auto"/>
                  <w:noWrap/>
                  <w:vAlign w:val="bottom"/>
                  <w:hideMark/>
                </w:tcPr>
                <w:p w:rsidR="00C44C42" w:rsidRPr="00F405F8" w:rsidRDefault="00C44C42" w:rsidP="00C44C42">
                  <w:pPr>
                    <w:jc w:val="right"/>
                    <w:rPr>
                      <w:rFonts w:ascii="Arial" w:hAnsi="Arial" w:cs="Arial"/>
                      <w:iCs/>
                      <w:color w:val="000000"/>
                    </w:rPr>
                  </w:pPr>
                  <w:r w:rsidRPr="00F405F8">
                    <w:rPr>
                      <w:rFonts w:ascii="Arial" w:hAnsi="Arial" w:cs="Arial"/>
                      <w:iCs/>
                      <w:color w:val="000000"/>
                    </w:rPr>
                    <w:t>29.1</w:t>
                  </w:r>
                  <w:r>
                    <w:rPr>
                      <w:rFonts w:ascii="Arial" w:hAnsi="Arial" w:cs="Arial"/>
                      <w:iCs/>
                      <w:color w:val="000000"/>
                    </w:rPr>
                    <w:t>00</w:t>
                  </w:r>
                </w:p>
              </w:tc>
              <w:tc>
                <w:tcPr>
                  <w:tcW w:w="1618" w:type="dxa"/>
                  <w:tcBorders>
                    <w:top w:val="nil"/>
                    <w:left w:val="nil"/>
                    <w:bottom w:val="single" w:sz="4" w:space="0" w:color="auto"/>
                    <w:right w:val="single" w:sz="4" w:space="0" w:color="auto"/>
                  </w:tcBorders>
                  <w:shd w:val="clear" w:color="auto" w:fill="auto"/>
                  <w:noWrap/>
                  <w:vAlign w:val="bottom"/>
                  <w:hideMark/>
                </w:tcPr>
                <w:p w:rsidR="00C44C42" w:rsidRDefault="00C44C42" w:rsidP="00C44C42">
                  <w:pPr>
                    <w:jc w:val="center"/>
                    <w:rPr>
                      <w:rFonts w:ascii="Arial" w:hAnsi="Arial" w:cs="Arial"/>
                      <w:color w:val="000000"/>
                    </w:rPr>
                  </w:pPr>
                  <w:r>
                    <w:rPr>
                      <w:rFonts w:ascii="Arial" w:hAnsi="Arial" w:cs="Arial"/>
                      <w:color w:val="000000"/>
                    </w:rPr>
                    <w:t>23 %</w:t>
                  </w:r>
                </w:p>
              </w:tc>
            </w:tr>
            <w:tr w:rsidR="00C44C42" w:rsidTr="005E244B">
              <w:trPr>
                <w:trHeight w:val="28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C44C42" w:rsidRPr="009771E8" w:rsidRDefault="00C44C42" w:rsidP="00C44C42">
                  <w:pPr>
                    <w:rPr>
                      <w:rFonts w:ascii="Arial" w:hAnsi="Arial" w:cs="Arial"/>
                      <w:iCs/>
                      <w:color w:val="000000"/>
                    </w:rPr>
                  </w:pPr>
                  <w:r w:rsidRPr="009771E8">
                    <w:rPr>
                      <w:rFonts w:ascii="Arial" w:hAnsi="Arial" w:cs="Arial"/>
                      <w:iCs/>
                      <w:color w:val="000000"/>
                    </w:rPr>
                    <w:lastRenderedPageBreak/>
                    <w:t>Århus Vand AS</w:t>
                  </w:r>
                </w:p>
              </w:tc>
              <w:tc>
                <w:tcPr>
                  <w:tcW w:w="1698" w:type="dxa"/>
                  <w:tcBorders>
                    <w:top w:val="nil"/>
                    <w:left w:val="nil"/>
                    <w:bottom w:val="single" w:sz="4" w:space="0" w:color="auto"/>
                    <w:right w:val="single" w:sz="4" w:space="0" w:color="auto"/>
                  </w:tcBorders>
                  <w:shd w:val="clear" w:color="auto" w:fill="auto"/>
                  <w:noWrap/>
                  <w:vAlign w:val="bottom"/>
                  <w:hideMark/>
                </w:tcPr>
                <w:p w:rsidR="00C44C42" w:rsidRPr="00F405F8" w:rsidRDefault="00C44C42" w:rsidP="00C44C42">
                  <w:pPr>
                    <w:jc w:val="right"/>
                    <w:rPr>
                      <w:rFonts w:ascii="Arial" w:hAnsi="Arial" w:cs="Arial"/>
                      <w:iCs/>
                      <w:color w:val="000000"/>
                    </w:rPr>
                  </w:pPr>
                  <w:r w:rsidRPr="00F405F8">
                    <w:rPr>
                      <w:rFonts w:ascii="Arial" w:hAnsi="Arial" w:cs="Arial"/>
                      <w:iCs/>
                      <w:color w:val="000000"/>
                    </w:rPr>
                    <w:t>15.30</w:t>
                  </w:r>
                  <w:r>
                    <w:rPr>
                      <w:rFonts w:ascii="Arial" w:hAnsi="Arial" w:cs="Arial"/>
                      <w:iCs/>
                      <w:color w:val="000000"/>
                    </w:rPr>
                    <w:t>0</w:t>
                  </w:r>
                </w:p>
              </w:tc>
              <w:tc>
                <w:tcPr>
                  <w:tcW w:w="1618" w:type="dxa"/>
                  <w:tcBorders>
                    <w:top w:val="nil"/>
                    <w:left w:val="nil"/>
                    <w:bottom w:val="single" w:sz="4" w:space="0" w:color="auto"/>
                    <w:right w:val="single" w:sz="4" w:space="0" w:color="auto"/>
                  </w:tcBorders>
                  <w:shd w:val="clear" w:color="auto" w:fill="auto"/>
                  <w:noWrap/>
                  <w:vAlign w:val="bottom"/>
                  <w:hideMark/>
                </w:tcPr>
                <w:p w:rsidR="00C44C42" w:rsidRDefault="00C44C42" w:rsidP="00C44C42">
                  <w:pPr>
                    <w:jc w:val="center"/>
                    <w:rPr>
                      <w:rFonts w:ascii="Arial" w:hAnsi="Arial" w:cs="Arial"/>
                      <w:color w:val="000000"/>
                    </w:rPr>
                  </w:pPr>
                  <w:r>
                    <w:rPr>
                      <w:rFonts w:ascii="Arial" w:hAnsi="Arial" w:cs="Arial"/>
                      <w:color w:val="000000"/>
                    </w:rPr>
                    <w:t>12 %</w:t>
                  </w:r>
                </w:p>
              </w:tc>
            </w:tr>
            <w:tr w:rsidR="00C44C42" w:rsidRPr="009771E8" w:rsidTr="005E244B">
              <w:trPr>
                <w:trHeight w:val="28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C44C42" w:rsidRPr="009771E8" w:rsidRDefault="00F03EB8" w:rsidP="00F03EB8">
                  <w:pPr>
                    <w:rPr>
                      <w:rFonts w:ascii="Arial" w:hAnsi="Arial" w:cs="Arial"/>
                      <w:iCs/>
                      <w:color w:val="000000"/>
                    </w:rPr>
                  </w:pPr>
                  <w:r>
                    <w:rPr>
                      <w:rFonts w:ascii="Arial" w:hAnsi="Arial" w:cs="Arial"/>
                      <w:iCs/>
                      <w:color w:val="000000"/>
                    </w:rPr>
                    <w:t>Busselskabet Aarhus Sporveje (</w:t>
                  </w:r>
                  <w:r w:rsidR="00C44C42" w:rsidRPr="009771E8">
                    <w:rPr>
                      <w:rFonts w:ascii="Arial" w:hAnsi="Arial" w:cs="Arial"/>
                      <w:iCs/>
                      <w:color w:val="000000"/>
                    </w:rPr>
                    <w:t>Midttrafik</w:t>
                  </w:r>
                  <w:r>
                    <w:rPr>
                      <w:rFonts w:ascii="Arial" w:hAnsi="Arial" w:cs="Arial"/>
                      <w:iCs/>
                      <w:color w:val="000000"/>
                    </w:rPr>
                    <w:t>)</w:t>
                  </w:r>
                </w:p>
              </w:tc>
              <w:tc>
                <w:tcPr>
                  <w:tcW w:w="1698" w:type="dxa"/>
                  <w:tcBorders>
                    <w:top w:val="nil"/>
                    <w:left w:val="nil"/>
                    <w:bottom w:val="single" w:sz="4" w:space="0" w:color="auto"/>
                    <w:right w:val="single" w:sz="4" w:space="0" w:color="auto"/>
                  </w:tcBorders>
                  <w:shd w:val="clear" w:color="auto" w:fill="auto"/>
                  <w:noWrap/>
                  <w:vAlign w:val="bottom"/>
                  <w:hideMark/>
                </w:tcPr>
                <w:p w:rsidR="00C44C42" w:rsidRPr="00F405F8" w:rsidRDefault="00C44C42" w:rsidP="00C44C42">
                  <w:pPr>
                    <w:jc w:val="right"/>
                    <w:rPr>
                      <w:rFonts w:ascii="Arial" w:hAnsi="Arial" w:cs="Arial"/>
                      <w:iCs/>
                      <w:color w:val="000000"/>
                    </w:rPr>
                  </w:pPr>
                  <w:r w:rsidRPr="00F405F8">
                    <w:rPr>
                      <w:rFonts w:ascii="Arial" w:hAnsi="Arial" w:cs="Arial"/>
                      <w:iCs/>
                      <w:color w:val="000000"/>
                    </w:rPr>
                    <w:t>20.1</w:t>
                  </w:r>
                  <w:r>
                    <w:rPr>
                      <w:rFonts w:ascii="Arial" w:hAnsi="Arial" w:cs="Arial"/>
                      <w:iCs/>
                      <w:color w:val="000000"/>
                    </w:rPr>
                    <w:t>00</w:t>
                  </w:r>
                </w:p>
              </w:tc>
              <w:tc>
                <w:tcPr>
                  <w:tcW w:w="1618" w:type="dxa"/>
                  <w:tcBorders>
                    <w:top w:val="nil"/>
                    <w:left w:val="nil"/>
                    <w:bottom w:val="single" w:sz="4" w:space="0" w:color="auto"/>
                    <w:right w:val="single" w:sz="4" w:space="0" w:color="auto"/>
                  </w:tcBorders>
                  <w:shd w:val="clear" w:color="auto" w:fill="auto"/>
                  <w:noWrap/>
                  <w:vAlign w:val="bottom"/>
                  <w:hideMark/>
                </w:tcPr>
                <w:p w:rsidR="00C44C42" w:rsidRDefault="00C44C42" w:rsidP="00C44C42">
                  <w:pPr>
                    <w:jc w:val="center"/>
                    <w:rPr>
                      <w:rFonts w:ascii="Arial" w:hAnsi="Arial" w:cs="Arial"/>
                      <w:color w:val="000000"/>
                    </w:rPr>
                  </w:pPr>
                  <w:r>
                    <w:rPr>
                      <w:rFonts w:ascii="Arial" w:hAnsi="Arial" w:cs="Arial"/>
                      <w:color w:val="000000"/>
                    </w:rPr>
                    <w:t>16 %</w:t>
                  </w:r>
                </w:p>
              </w:tc>
            </w:tr>
            <w:tr w:rsidR="00DF66DF" w:rsidTr="005E244B">
              <w:trPr>
                <w:trHeight w:val="285"/>
              </w:trPr>
              <w:tc>
                <w:tcPr>
                  <w:tcW w:w="32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DF66DF" w:rsidRPr="00F405F8" w:rsidRDefault="00DF66DF" w:rsidP="00DF66DF">
                  <w:pPr>
                    <w:rPr>
                      <w:b/>
                      <w:sz w:val="24"/>
                      <w:szCs w:val="23"/>
                    </w:rPr>
                  </w:pPr>
                  <w:r w:rsidRPr="00F405F8">
                    <w:rPr>
                      <w:b/>
                      <w:sz w:val="24"/>
                      <w:szCs w:val="23"/>
                    </w:rPr>
                    <w:t>Total</w:t>
                  </w:r>
                </w:p>
              </w:tc>
              <w:tc>
                <w:tcPr>
                  <w:tcW w:w="1698"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DF66DF" w:rsidRPr="00F405F8" w:rsidRDefault="00F405F8" w:rsidP="00B7535C">
                  <w:pPr>
                    <w:jc w:val="right"/>
                    <w:rPr>
                      <w:b/>
                      <w:sz w:val="24"/>
                      <w:szCs w:val="23"/>
                    </w:rPr>
                  </w:pPr>
                  <w:r w:rsidRPr="00F405F8">
                    <w:rPr>
                      <w:b/>
                      <w:sz w:val="24"/>
                      <w:szCs w:val="23"/>
                    </w:rPr>
                    <w:t>12</w:t>
                  </w:r>
                  <w:r w:rsidR="00B7535C">
                    <w:rPr>
                      <w:b/>
                      <w:sz w:val="24"/>
                      <w:szCs w:val="23"/>
                    </w:rPr>
                    <w:t>0</w:t>
                  </w:r>
                  <w:r w:rsidRPr="00F405F8">
                    <w:rPr>
                      <w:b/>
                      <w:sz w:val="24"/>
                      <w:szCs w:val="23"/>
                    </w:rPr>
                    <w:t>.</w:t>
                  </w:r>
                  <w:r w:rsidR="00EB25A0">
                    <w:rPr>
                      <w:b/>
                      <w:sz w:val="24"/>
                      <w:szCs w:val="23"/>
                    </w:rPr>
                    <w:t>0</w:t>
                  </w:r>
                  <w:r w:rsidR="00C44C42">
                    <w:rPr>
                      <w:b/>
                      <w:sz w:val="24"/>
                      <w:szCs w:val="23"/>
                    </w:rPr>
                    <w:t>00</w:t>
                  </w:r>
                </w:p>
              </w:tc>
              <w:tc>
                <w:tcPr>
                  <w:tcW w:w="1618"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DF66DF" w:rsidRPr="00F405F8" w:rsidRDefault="00D63093" w:rsidP="009771E8">
                  <w:pPr>
                    <w:spacing w:after="0" w:line="240" w:lineRule="auto"/>
                    <w:jc w:val="center"/>
                    <w:rPr>
                      <w:b/>
                      <w:sz w:val="24"/>
                      <w:szCs w:val="23"/>
                    </w:rPr>
                  </w:pPr>
                  <w:r w:rsidRPr="00F405F8">
                    <w:rPr>
                      <w:b/>
                      <w:sz w:val="24"/>
                      <w:szCs w:val="23"/>
                    </w:rPr>
                    <w:t>100</w:t>
                  </w:r>
                  <w:r w:rsidR="009771E8" w:rsidRPr="00F405F8">
                    <w:rPr>
                      <w:b/>
                      <w:sz w:val="24"/>
                      <w:szCs w:val="23"/>
                    </w:rPr>
                    <w:t xml:space="preserve"> %</w:t>
                  </w:r>
                </w:p>
              </w:tc>
            </w:tr>
          </w:tbl>
          <w:p w:rsidR="00DF66DF" w:rsidRPr="00DF66DF" w:rsidRDefault="00DF66DF" w:rsidP="00DF66DF">
            <w:pPr>
              <w:spacing w:after="0" w:line="240" w:lineRule="auto"/>
              <w:rPr>
                <w:rFonts w:ascii="Arial" w:eastAsia="Times New Roman" w:hAnsi="Arial" w:cs="Arial"/>
                <w:i/>
                <w:iCs/>
                <w:color w:val="000000"/>
                <w:lang w:eastAsia="da-DK"/>
              </w:rPr>
            </w:pPr>
          </w:p>
        </w:tc>
        <w:tc>
          <w:tcPr>
            <w:tcW w:w="1536" w:type="dxa"/>
            <w:tcBorders>
              <w:top w:val="nil"/>
              <w:left w:val="nil"/>
              <w:bottom w:val="nil"/>
              <w:right w:val="nil"/>
            </w:tcBorders>
            <w:shd w:val="clear" w:color="auto" w:fill="auto"/>
            <w:noWrap/>
            <w:vAlign w:val="bottom"/>
            <w:hideMark/>
          </w:tcPr>
          <w:p w:rsidR="00DF66DF" w:rsidRPr="00DF66DF" w:rsidRDefault="00DF66DF" w:rsidP="00DF66DF">
            <w:pPr>
              <w:spacing w:after="0" w:line="240" w:lineRule="auto"/>
              <w:jc w:val="right"/>
              <w:rPr>
                <w:rFonts w:ascii="Arial" w:eastAsia="Times New Roman" w:hAnsi="Arial" w:cs="Arial"/>
                <w:color w:val="000000"/>
                <w:lang w:eastAsia="da-DK"/>
              </w:rPr>
            </w:pPr>
          </w:p>
        </w:tc>
      </w:tr>
    </w:tbl>
    <w:p w:rsidR="00BA3E4B" w:rsidRPr="000747A5" w:rsidRDefault="00EA7996" w:rsidP="00DF66DF">
      <w:pPr>
        <w:pStyle w:val="Billedtekst"/>
        <w:rPr>
          <w:color w:val="auto"/>
          <w:szCs w:val="21"/>
        </w:rPr>
      </w:pPr>
      <w:r>
        <w:rPr>
          <w:color w:val="auto"/>
          <w:szCs w:val="21"/>
        </w:rPr>
        <w:lastRenderedPageBreak/>
        <w:t>Tabel 2</w:t>
      </w:r>
      <w:r w:rsidR="00DF66DF" w:rsidRPr="000747A5">
        <w:rPr>
          <w:color w:val="auto"/>
          <w:szCs w:val="21"/>
        </w:rPr>
        <w:t>.1 Udledning af CO</w:t>
      </w:r>
      <w:r w:rsidR="00DF66DF" w:rsidRPr="00D373C9">
        <w:rPr>
          <w:color w:val="auto"/>
          <w:szCs w:val="21"/>
          <w:vertAlign w:val="subscript"/>
        </w:rPr>
        <w:t>2</w:t>
      </w:r>
      <w:r w:rsidR="00DF66DF" w:rsidRPr="000747A5">
        <w:rPr>
          <w:color w:val="auto"/>
          <w:szCs w:val="21"/>
        </w:rPr>
        <w:t xml:space="preserve"> fra </w:t>
      </w:r>
      <w:r w:rsidR="006860D0">
        <w:rPr>
          <w:color w:val="auto"/>
          <w:szCs w:val="21"/>
        </w:rPr>
        <w:t>Aarhus</w:t>
      </w:r>
      <w:r w:rsidR="00DF66DF" w:rsidRPr="000747A5">
        <w:rPr>
          <w:color w:val="auto"/>
          <w:szCs w:val="21"/>
        </w:rPr>
        <w:t xml:space="preserve"> kommune som virksomhed i </w:t>
      </w:r>
      <w:r w:rsidR="00056BB5">
        <w:rPr>
          <w:color w:val="auto"/>
          <w:szCs w:val="21"/>
        </w:rPr>
        <w:t>20</w:t>
      </w:r>
      <w:r w:rsidR="009771E8">
        <w:rPr>
          <w:color w:val="auto"/>
          <w:szCs w:val="21"/>
        </w:rPr>
        <w:t>1</w:t>
      </w:r>
      <w:r w:rsidR="00056BB5">
        <w:rPr>
          <w:color w:val="auto"/>
          <w:szCs w:val="21"/>
        </w:rPr>
        <w:t>0</w:t>
      </w:r>
      <w:r w:rsidR="00DF66DF" w:rsidRPr="000747A5">
        <w:rPr>
          <w:color w:val="auto"/>
          <w:szCs w:val="21"/>
        </w:rPr>
        <w:t>, fordelt på Magistratsafdelinger og kommunalt ejede eller delvist kommunalt ejede selskaber.</w:t>
      </w:r>
    </w:p>
    <w:p w:rsidR="006C0819" w:rsidRPr="00D63093" w:rsidRDefault="006C0819" w:rsidP="00584C9B">
      <w:pPr>
        <w:pStyle w:val="Brdtekst"/>
      </w:pPr>
      <w:r w:rsidRPr="00584C9B">
        <w:rPr>
          <w:sz w:val="24"/>
        </w:rPr>
        <w:t xml:space="preserve"> </w:t>
      </w:r>
      <w:r w:rsidR="002B59DD" w:rsidRPr="00D63093">
        <w:t xml:space="preserve">I </w:t>
      </w:r>
      <w:r w:rsidRPr="00D63093">
        <w:t xml:space="preserve">figur </w:t>
      </w:r>
      <w:r w:rsidR="00EA7996">
        <w:t>2</w:t>
      </w:r>
      <w:r w:rsidR="008C5487" w:rsidRPr="00D63093">
        <w:t>.2 ses, hvorledes CO</w:t>
      </w:r>
      <w:r w:rsidRPr="00D373C9">
        <w:rPr>
          <w:vertAlign w:val="subscript"/>
        </w:rPr>
        <w:t>2</w:t>
      </w:r>
      <w:r w:rsidRPr="00D63093">
        <w:t xml:space="preserve">-udledningen </w:t>
      </w:r>
      <w:r w:rsidR="00630061">
        <w:t xml:space="preserve">i 2010 </w:t>
      </w:r>
      <w:r w:rsidR="00D343D9" w:rsidRPr="00D63093">
        <w:t xml:space="preserve">for </w:t>
      </w:r>
      <w:r w:rsidR="006860D0">
        <w:t>Aarhus</w:t>
      </w:r>
      <w:r w:rsidR="00D343D9" w:rsidRPr="00D63093">
        <w:t xml:space="preserve"> Kommune som virksomhed </w:t>
      </w:r>
      <w:r w:rsidRPr="00D63093">
        <w:t>er fordelt på kilderne:</w:t>
      </w:r>
    </w:p>
    <w:p w:rsidR="006C0819" w:rsidRPr="00D63093" w:rsidRDefault="006C0819" w:rsidP="006C0819">
      <w:pPr>
        <w:pStyle w:val="Listeafsnit"/>
        <w:numPr>
          <w:ilvl w:val="0"/>
          <w:numId w:val="16"/>
        </w:numPr>
      </w:pPr>
      <w:r w:rsidRPr="00D63093">
        <w:t xml:space="preserve"> el-forbrug (</w:t>
      </w:r>
      <w:r w:rsidR="00F47814" w:rsidRPr="00D63093">
        <w:t>vejbelysning, bygninger/anlæg</w:t>
      </w:r>
      <w:r w:rsidR="00EB25A0">
        <w:t xml:space="preserve"> m.m.</w:t>
      </w:r>
      <w:r w:rsidRPr="00D63093">
        <w:t>)</w:t>
      </w:r>
    </w:p>
    <w:p w:rsidR="006C0819" w:rsidRPr="00D63093" w:rsidRDefault="006C0819" w:rsidP="006C0819">
      <w:pPr>
        <w:pStyle w:val="Listeafsnit"/>
        <w:numPr>
          <w:ilvl w:val="0"/>
          <w:numId w:val="16"/>
        </w:numPr>
      </w:pPr>
      <w:r w:rsidRPr="00D63093">
        <w:t xml:space="preserve"> varmeforbrug </w:t>
      </w:r>
      <w:r w:rsidR="00BC6AF2" w:rsidRPr="00D63093">
        <w:t>(fjernvarme og fyringsolie</w:t>
      </w:r>
      <w:r w:rsidR="00F47814" w:rsidRPr="00D63093">
        <w:t xml:space="preserve">, </w:t>
      </w:r>
      <w:r w:rsidR="00C44C42">
        <w:t>ikke</w:t>
      </w:r>
      <w:r w:rsidR="00F47814" w:rsidRPr="00D63093">
        <w:t xml:space="preserve"> el-varme</w:t>
      </w:r>
      <w:r w:rsidR="00BC6AF2" w:rsidRPr="00D63093">
        <w:t>)</w:t>
      </w:r>
    </w:p>
    <w:p w:rsidR="006C0819" w:rsidRPr="00D63093" w:rsidRDefault="006C0819" w:rsidP="006C0819">
      <w:pPr>
        <w:pStyle w:val="Listeafsnit"/>
        <w:numPr>
          <w:ilvl w:val="0"/>
          <w:numId w:val="16"/>
        </w:numPr>
      </w:pPr>
      <w:r w:rsidRPr="00D63093">
        <w:t xml:space="preserve"> transport</w:t>
      </w:r>
      <w:r w:rsidR="00BC6AF2" w:rsidRPr="00D63093">
        <w:t xml:space="preserve"> (</w:t>
      </w:r>
      <w:r w:rsidR="00FE0083">
        <w:t>tjeneste</w:t>
      </w:r>
      <w:r w:rsidR="00BC6AF2" w:rsidRPr="00D63093">
        <w:t>kørsel, non-road, tog, fly)</w:t>
      </w:r>
    </w:p>
    <w:p w:rsidR="006C0819" w:rsidRPr="00D63093" w:rsidRDefault="006C0819" w:rsidP="006C0819">
      <w:pPr>
        <w:pStyle w:val="Listeafsnit"/>
        <w:numPr>
          <w:ilvl w:val="0"/>
          <w:numId w:val="16"/>
        </w:numPr>
      </w:pPr>
      <w:r w:rsidRPr="00D63093">
        <w:t xml:space="preserve"> øvrige (kalk, kunstgødning)</w:t>
      </w:r>
    </w:p>
    <w:p w:rsidR="006C0819" w:rsidRDefault="00B7535C" w:rsidP="006C0819">
      <w:pPr>
        <w:pStyle w:val="Listeafsnit"/>
        <w:numPr>
          <w:ilvl w:val="0"/>
          <w:numId w:val="16"/>
        </w:numPr>
      </w:pPr>
      <w:r>
        <w:rPr>
          <w:noProof/>
          <w:lang w:eastAsia="da-DK"/>
        </w:rPr>
        <w:drawing>
          <wp:anchor distT="0" distB="0" distL="114300" distR="114300" simplePos="0" relativeHeight="251718656" behindDoc="0" locked="0" layoutInCell="1" allowOverlap="1">
            <wp:simplePos x="0" y="0"/>
            <wp:positionH relativeFrom="column">
              <wp:posOffset>40640</wp:posOffset>
            </wp:positionH>
            <wp:positionV relativeFrom="paragraph">
              <wp:posOffset>450215</wp:posOffset>
            </wp:positionV>
            <wp:extent cx="5147945" cy="2363470"/>
            <wp:effectExtent l="19050" t="0" r="14605" b="0"/>
            <wp:wrapTopAndBottom/>
            <wp:docPr id="13"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C0819" w:rsidRPr="00D63093">
        <w:t>arealer (optag fra skov og vådområder)</w:t>
      </w:r>
    </w:p>
    <w:p w:rsidR="006C0819" w:rsidRPr="002F6F69" w:rsidRDefault="00EA7996" w:rsidP="002F6F69">
      <w:pPr>
        <w:pStyle w:val="Billedtekst"/>
      </w:pPr>
      <w:r>
        <w:t>Figur 2.2:</w:t>
      </w:r>
      <w:r w:rsidR="00A03281" w:rsidRPr="002F6F69">
        <w:t xml:space="preserve"> CO</w:t>
      </w:r>
      <w:r w:rsidR="00A03281" w:rsidRPr="00D373C9">
        <w:rPr>
          <w:vertAlign w:val="subscript"/>
        </w:rPr>
        <w:t>2</w:t>
      </w:r>
      <w:r w:rsidR="00A03281" w:rsidRPr="002F6F69">
        <w:t xml:space="preserve">-udledning for </w:t>
      </w:r>
      <w:r w:rsidR="006860D0">
        <w:t>Aarhus</w:t>
      </w:r>
      <w:r w:rsidR="00A03281" w:rsidRPr="002F6F69">
        <w:t xml:space="preserve"> Kommune som virksomhed samt AffaldVarme </w:t>
      </w:r>
      <w:r w:rsidR="006860D0">
        <w:t>Aarhus</w:t>
      </w:r>
      <w:r w:rsidR="00A03281" w:rsidRPr="002F6F69">
        <w:t xml:space="preserve">, </w:t>
      </w:r>
      <w:r w:rsidR="006860D0">
        <w:t>Aarhus</w:t>
      </w:r>
      <w:r w:rsidR="00A03281" w:rsidRPr="002F6F69">
        <w:t xml:space="preserve"> Vand</w:t>
      </w:r>
      <w:r w:rsidR="009771E8">
        <w:t xml:space="preserve"> og </w:t>
      </w:r>
      <w:r w:rsidR="00F03EB8">
        <w:t>Busselskabet Aarhus Sporveje (</w:t>
      </w:r>
      <w:r w:rsidR="009771E8">
        <w:t>Midttrafik</w:t>
      </w:r>
      <w:r w:rsidR="00F03EB8">
        <w:t>)</w:t>
      </w:r>
      <w:r w:rsidR="00A03281" w:rsidRPr="002F6F69">
        <w:t xml:space="preserve"> fordelt på kilder.</w:t>
      </w:r>
      <w:r w:rsidR="002F181A">
        <w:t xml:space="preserve"> ”Øvrige” dække over procesemissioner.</w:t>
      </w:r>
    </w:p>
    <w:p w:rsidR="009771E8" w:rsidRDefault="009771E8">
      <w:r>
        <w:br w:type="page"/>
      </w:r>
    </w:p>
    <w:p w:rsidR="00BA3E4B" w:rsidRPr="00056BB5" w:rsidRDefault="00935DBA" w:rsidP="00EA7996">
      <w:pPr>
        <w:pStyle w:val="Overskrift1"/>
        <w:numPr>
          <w:ilvl w:val="1"/>
          <w:numId w:val="12"/>
        </w:numPr>
      </w:pPr>
      <w:bookmarkStart w:id="2" w:name="_Toc293402190"/>
      <w:bookmarkStart w:id="3" w:name="_Toc293405985"/>
      <w:bookmarkStart w:id="4" w:name="_Toc293566417"/>
      <w:bookmarkStart w:id="5" w:name="_Toc293402191"/>
      <w:bookmarkStart w:id="6" w:name="_Toc293405986"/>
      <w:bookmarkStart w:id="7" w:name="_Toc293566418"/>
      <w:bookmarkStart w:id="8" w:name="_Toc300217007"/>
      <w:bookmarkEnd w:id="2"/>
      <w:bookmarkEnd w:id="3"/>
      <w:bookmarkEnd w:id="4"/>
      <w:bookmarkEnd w:id="5"/>
      <w:bookmarkEnd w:id="6"/>
      <w:bookmarkEnd w:id="7"/>
      <w:r>
        <w:lastRenderedPageBreak/>
        <w:t>Udvikling i samlet CO</w:t>
      </w:r>
      <w:r w:rsidRPr="00616B62">
        <w:rPr>
          <w:vertAlign w:val="subscript"/>
        </w:rPr>
        <w:t>2</w:t>
      </w:r>
      <w:r>
        <w:t>-udledning</w:t>
      </w:r>
      <w:bookmarkEnd w:id="8"/>
    </w:p>
    <w:p w:rsidR="00994CBE" w:rsidRDefault="00D6588D" w:rsidP="003D309D">
      <w:r>
        <w:rPr>
          <w:noProof/>
          <w:lang w:eastAsia="da-DK"/>
        </w:rPr>
        <w:drawing>
          <wp:anchor distT="0" distB="0" distL="114300" distR="114300" simplePos="0" relativeHeight="251714560" behindDoc="0" locked="0" layoutInCell="1" allowOverlap="1">
            <wp:simplePos x="0" y="0"/>
            <wp:positionH relativeFrom="column">
              <wp:posOffset>14605</wp:posOffset>
            </wp:positionH>
            <wp:positionV relativeFrom="paragraph">
              <wp:posOffset>767080</wp:posOffset>
            </wp:positionV>
            <wp:extent cx="4700905" cy="2518410"/>
            <wp:effectExtent l="19050" t="0" r="23495" b="0"/>
            <wp:wrapTopAndBottom/>
            <wp:docPr id="10"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DC5CBD">
        <w:t>CO</w:t>
      </w:r>
      <w:r w:rsidR="00DC5CBD" w:rsidRPr="00D373C9">
        <w:rPr>
          <w:vertAlign w:val="subscript"/>
        </w:rPr>
        <w:t>2</w:t>
      </w:r>
      <w:r w:rsidR="00DC5CBD">
        <w:t xml:space="preserve">-udledningen for </w:t>
      </w:r>
      <w:r w:rsidR="009771E8">
        <w:t>Aarhus Kommune</w:t>
      </w:r>
      <w:r w:rsidR="00DC5CBD">
        <w:t xml:space="preserve"> som virksomhed,</w:t>
      </w:r>
      <w:r w:rsidR="009771E8">
        <w:t xml:space="preserve"> </w:t>
      </w:r>
      <w:r w:rsidR="00DC5CBD">
        <w:t xml:space="preserve">inkl. </w:t>
      </w:r>
      <w:r w:rsidR="00F03EB8">
        <w:t>Busselskabet Aarhus Sporveje (</w:t>
      </w:r>
      <w:r w:rsidR="00DC5CBD">
        <w:t>Midttrafik</w:t>
      </w:r>
      <w:r w:rsidR="00F03EB8">
        <w:t>)</w:t>
      </w:r>
      <w:r w:rsidR="00DC5CBD">
        <w:t xml:space="preserve"> og Aarhus Vand</w:t>
      </w:r>
      <w:r w:rsidR="00616B62">
        <w:t xml:space="preserve"> A/S</w:t>
      </w:r>
      <w:r w:rsidR="00DC5CBD">
        <w:t xml:space="preserve">, </w:t>
      </w:r>
      <w:r w:rsidR="009771E8">
        <w:t xml:space="preserve">er </w:t>
      </w:r>
      <w:r w:rsidR="00994CBE">
        <w:t xml:space="preserve">faldet </w:t>
      </w:r>
      <w:r w:rsidR="009771E8">
        <w:t>fra 122.0</w:t>
      </w:r>
      <w:r w:rsidR="00C44C42">
        <w:t>00 ton i 2009 til 12</w:t>
      </w:r>
      <w:r w:rsidR="00994CBE">
        <w:t>0</w:t>
      </w:r>
      <w:r w:rsidR="00C44C42">
        <w:t>.</w:t>
      </w:r>
      <w:r w:rsidR="00994CBE">
        <w:t>0</w:t>
      </w:r>
      <w:r w:rsidR="00C44C42">
        <w:t>00</w:t>
      </w:r>
      <w:r w:rsidR="009771E8">
        <w:t xml:space="preserve"> ton i 20</w:t>
      </w:r>
      <w:r w:rsidR="00994CBE">
        <w:t>10</w:t>
      </w:r>
      <w:r>
        <w:t>, svarende til knap 2 %</w:t>
      </w:r>
      <w:r w:rsidR="00994CBE">
        <w:t xml:space="preserve">. </w:t>
      </w:r>
      <w:r w:rsidR="009771E8">
        <w:t xml:space="preserve">I figur </w:t>
      </w:r>
      <w:r w:rsidR="00EA7996">
        <w:t>2</w:t>
      </w:r>
      <w:r w:rsidR="009771E8">
        <w:t>.3 ses udviklinge</w:t>
      </w:r>
      <w:r w:rsidR="00691B9D">
        <w:t>n i CO</w:t>
      </w:r>
      <w:r w:rsidR="00691B9D" w:rsidRPr="00D373C9">
        <w:rPr>
          <w:sz w:val="20"/>
          <w:vertAlign w:val="subscript"/>
        </w:rPr>
        <w:t>2</w:t>
      </w:r>
      <w:r w:rsidR="00691B9D">
        <w:t>-udledningen f</w:t>
      </w:r>
      <w:r w:rsidR="009771E8">
        <w:t>r</w:t>
      </w:r>
      <w:r w:rsidR="00691B9D">
        <w:t>a</w:t>
      </w:r>
      <w:r>
        <w:t xml:space="preserve"> 2008 til 2010.</w:t>
      </w:r>
      <w:r w:rsidR="00D373C9">
        <w:t xml:space="preserve"> </w:t>
      </w:r>
    </w:p>
    <w:p w:rsidR="009771E8" w:rsidRPr="00201D7A" w:rsidRDefault="00EA7996" w:rsidP="009771E8">
      <w:pPr>
        <w:pStyle w:val="Billedtekst"/>
      </w:pPr>
      <w:r>
        <w:t>Figur 2</w:t>
      </w:r>
      <w:r w:rsidR="009771E8" w:rsidRPr="00201D7A">
        <w:t>.3. Samlet CO</w:t>
      </w:r>
      <w:r w:rsidR="009771E8" w:rsidRPr="00201D7A">
        <w:rPr>
          <w:vertAlign w:val="subscript"/>
        </w:rPr>
        <w:t>2</w:t>
      </w:r>
      <w:r w:rsidR="009771E8" w:rsidRPr="00201D7A">
        <w:t>-udledning for Aarhus Kommune som virksomhed for årene 2008, 2009 og 2010.</w:t>
      </w:r>
    </w:p>
    <w:p w:rsidR="00143C93" w:rsidRDefault="00201D7A" w:rsidP="005E244B">
      <w:pPr>
        <w:pStyle w:val="Brdtekst"/>
        <w:spacing w:after="0"/>
      </w:pPr>
      <w:r w:rsidRPr="00201D7A">
        <w:t>Reduktionen af CO</w:t>
      </w:r>
      <w:r w:rsidRPr="00201D7A">
        <w:rPr>
          <w:vertAlign w:val="subscript"/>
        </w:rPr>
        <w:t>2</w:t>
      </w:r>
      <w:r w:rsidRPr="00201D7A">
        <w:t xml:space="preserve">-udledningen </w:t>
      </w:r>
      <w:r w:rsidR="00221E6D">
        <w:t>kan</w:t>
      </w:r>
      <w:r>
        <w:t xml:space="preserve"> primært tilskrives mindre reduktioner i </w:t>
      </w:r>
      <w:r w:rsidR="00221E6D">
        <w:t>varme-forbrug samt reduktion</w:t>
      </w:r>
      <w:r>
        <w:t xml:space="preserve"> i emissionsfaktoren for el. </w:t>
      </w:r>
      <w:r w:rsidR="005E244B">
        <w:t xml:space="preserve">Der er ikke sket andre væsentlige ændringer inden for </w:t>
      </w:r>
      <w:r w:rsidR="00CF3FA3">
        <w:t xml:space="preserve">områderne </w:t>
      </w:r>
      <w:r w:rsidR="005E244B">
        <w:t xml:space="preserve">transport, proces-emissioner </w:t>
      </w:r>
      <w:r w:rsidR="00D1792D">
        <w:t>og</w:t>
      </w:r>
      <w:r w:rsidR="005E244B">
        <w:t xml:space="preserve"> arealanvendelse.</w:t>
      </w:r>
    </w:p>
    <w:p w:rsidR="00DC5CBD" w:rsidRPr="00056BB5" w:rsidRDefault="00DC5CBD" w:rsidP="00DC5CBD">
      <w:pPr>
        <w:pStyle w:val="Overskrift1"/>
        <w:numPr>
          <w:ilvl w:val="1"/>
          <w:numId w:val="12"/>
        </w:numPr>
      </w:pPr>
      <w:bookmarkStart w:id="9" w:name="_Toc300217008"/>
      <w:r>
        <w:t xml:space="preserve">Udvikling </w:t>
      </w:r>
      <w:r w:rsidR="00DC375C">
        <w:t>i CO</w:t>
      </w:r>
      <w:r w:rsidR="00DC375C" w:rsidRPr="00DC375C">
        <w:rPr>
          <w:vertAlign w:val="subscript"/>
        </w:rPr>
        <w:t>2</w:t>
      </w:r>
      <w:r w:rsidR="00DC375C">
        <w:t xml:space="preserve">-udledning </w:t>
      </w:r>
      <w:r>
        <w:t>for Magistratsafdelinger</w:t>
      </w:r>
      <w:bookmarkEnd w:id="9"/>
    </w:p>
    <w:p w:rsidR="00DC5CBD" w:rsidRDefault="00CA0E4D" w:rsidP="005E244B">
      <w:pPr>
        <w:pStyle w:val="Brdtekst"/>
        <w:spacing w:after="0"/>
      </w:pPr>
      <w:r>
        <w:t>I figur 2.5</w:t>
      </w:r>
      <w:r w:rsidR="00DC5CBD">
        <w:t xml:space="preserve"> ses hvorledes udviklingen </w:t>
      </w:r>
      <w:r w:rsidR="009A4560">
        <w:t xml:space="preserve">i perioden 2008 til 2010 </w:t>
      </w:r>
      <w:r w:rsidR="007C79CC">
        <w:t>af CO</w:t>
      </w:r>
      <w:r w:rsidR="007C79CC" w:rsidRPr="007C79CC">
        <w:rPr>
          <w:vertAlign w:val="subscript"/>
        </w:rPr>
        <w:t>2</w:t>
      </w:r>
      <w:r w:rsidR="007C79CC">
        <w:t xml:space="preserve">-udledningen </w:t>
      </w:r>
      <w:r w:rsidR="00DC5CBD">
        <w:t>for Magistratsafdelingerne.</w:t>
      </w:r>
      <w:r w:rsidR="00201D7A">
        <w:t xml:space="preserve"> Her er ikke medtaget CO</w:t>
      </w:r>
      <w:r w:rsidR="00201D7A" w:rsidRPr="00201D7A">
        <w:rPr>
          <w:vertAlign w:val="subscript"/>
        </w:rPr>
        <w:t>2</w:t>
      </w:r>
      <w:r w:rsidR="00201D7A">
        <w:t>-udledning for Busselskabet Aarhus Sporveje (Midttrafik) og Aarhus Vand A/S.</w:t>
      </w:r>
      <w:r w:rsidR="00DC5CBD">
        <w:t xml:space="preserve"> </w:t>
      </w:r>
    </w:p>
    <w:p w:rsidR="009A4560" w:rsidRDefault="009A4560" w:rsidP="005E244B">
      <w:pPr>
        <w:pStyle w:val="Brdtekst"/>
        <w:spacing w:after="0"/>
      </w:pPr>
    </w:p>
    <w:p w:rsidR="009A4560" w:rsidRDefault="009A4560" w:rsidP="005E244B">
      <w:pPr>
        <w:pStyle w:val="Brdtekst"/>
        <w:spacing w:after="0"/>
      </w:pPr>
      <w:r>
        <w:t>Generelt ses der en svag stigning i CO</w:t>
      </w:r>
      <w:r w:rsidRPr="009A4560">
        <w:rPr>
          <w:vertAlign w:val="subscript"/>
        </w:rPr>
        <w:t>2</w:t>
      </w:r>
      <w:r>
        <w:t xml:space="preserve">-udledningen for de enkelte Magistratsafdelinger, dog ikke ved Magistratsafdelingen Børn og Unge. </w:t>
      </w:r>
    </w:p>
    <w:p w:rsidR="00DC5CBD" w:rsidRPr="002F6F69" w:rsidRDefault="00DC5CBD" w:rsidP="0044777B">
      <w:r>
        <w:br w:type="page"/>
      </w:r>
      <w:r w:rsidR="00CA0E4D" w:rsidRPr="0044777B">
        <w:rPr>
          <w:b/>
          <w:bCs/>
          <w:color w:val="4F81BD" w:themeColor="accent1"/>
          <w:sz w:val="18"/>
          <w:szCs w:val="18"/>
        </w:rPr>
        <w:lastRenderedPageBreak/>
        <w:t>Figur 2.5</w:t>
      </w:r>
      <w:r w:rsidRPr="0044777B">
        <w:rPr>
          <w:b/>
          <w:bCs/>
          <w:color w:val="4F81BD" w:themeColor="accent1"/>
          <w:sz w:val="18"/>
          <w:szCs w:val="18"/>
        </w:rPr>
        <w:t xml:space="preserve">. </w:t>
      </w:r>
      <w:r w:rsidR="005268A9">
        <w:rPr>
          <w:b/>
          <w:bCs/>
          <w:color w:val="4F81BD" w:themeColor="accent1"/>
          <w:sz w:val="18"/>
          <w:szCs w:val="18"/>
        </w:rPr>
        <w:t>S</w:t>
      </w:r>
      <w:r w:rsidR="00630061">
        <w:rPr>
          <w:b/>
          <w:bCs/>
          <w:color w:val="4F81BD" w:themeColor="accent1"/>
          <w:sz w:val="18"/>
          <w:szCs w:val="18"/>
        </w:rPr>
        <w:t xml:space="preserve">amlet </w:t>
      </w:r>
      <w:r w:rsidRPr="0044777B">
        <w:rPr>
          <w:b/>
          <w:bCs/>
          <w:color w:val="4F81BD" w:themeColor="accent1"/>
          <w:sz w:val="18"/>
          <w:szCs w:val="18"/>
        </w:rPr>
        <w:t>CO</w:t>
      </w:r>
      <w:r w:rsidRPr="00201D7A">
        <w:rPr>
          <w:b/>
          <w:bCs/>
          <w:color w:val="4F81BD" w:themeColor="accent1"/>
          <w:sz w:val="18"/>
          <w:szCs w:val="18"/>
          <w:vertAlign w:val="subscript"/>
        </w:rPr>
        <w:t>2</w:t>
      </w:r>
      <w:r w:rsidRPr="0044777B">
        <w:rPr>
          <w:b/>
          <w:bCs/>
          <w:color w:val="4F81BD" w:themeColor="accent1"/>
          <w:sz w:val="18"/>
          <w:szCs w:val="18"/>
        </w:rPr>
        <w:t xml:space="preserve">-udledning fordelt på Magistratsafdelinger for årene 2008, 2009 og 2010. </w:t>
      </w:r>
    </w:p>
    <w:p w:rsidR="00753346" w:rsidRDefault="00201D7A" w:rsidP="00DC5CBD">
      <w:pPr>
        <w:pStyle w:val="Brdtekst"/>
        <w:spacing w:after="0"/>
      </w:pPr>
      <w:r>
        <w:rPr>
          <w:noProof/>
          <w:lang w:eastAsia="da-DK"/>
        </w:rPr>
        <w:drawing>
          <wp:anchor distT="0" distB="0" distL="114300" distR="114300" simplePos="0" relativeHeight="251732992" behindDoc="0" locked="0" layoutInCell="1" allowOverlap="1">
            <wp:simplePos x="0" y="0"/>
            <wp:positionH relativeFrom="column">
              <wp:posOffset>14605</wp:posOffset>
            </wp:positionH>
            <wp:positionV relativeFrom="paragraph">
              <wp:posOffset>-194945</wp:posOffset>
            </wp:positionV>
            <wp:extent cx="5729605" cy="3959225"/>
            <wp:effectExtent l="19050" t="0" r="23495" b="3175"/>
            <wp:wrapTopAndBottom/>
            <wp:docPr id="15"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D72108" w:rsidRPr="00D72108">
        <w:rPr>
          <w:highlight w:val="red"/>
        </w:rPr>
        <w:t xml:space="preserve"> </w:t>
      </w:r>
    </w:p>
    <w:p w:rsidR="007F33E6" w:rsidRPr="00056BB5" w:rsidRDefault="007F33E6" w:rsidP="00EA7996">
      <w:pPr>
        <w:pStyle w:val="Overskrift1"/>
        <w:numPr>
          <w:ilvl w:val="1"/>
          <w:numId w:val="12"/>
        </w:numPr>
      </w:pPr>
      <w:bookmarkStart w:id="10" w:name="_Toc300217009"/>
      <w:r>
        <w:t>Datagrundlag og usikkerheder</w:t>
      </w:r>
      <w:bookmarkEnd w:id="10"/>
    </w:p>
    <w:p w:rsidR="00C44C42" w:rsidRDefault="00C44C42" w:rsidP="00C44C42">
      <w:pPr>
        <w:pStyle w:val="Brdtekst"/>
        <w:spacing w:after="0"/>
      </w:pPr>
      <w:r w:rsidRPr="00C44C42">
        <w:t>Overordnet vurderet er opgørelsen baseret på pålidelige og detaljerede data for energi-forbruget, transport m.m. og den dertil relaterede CO</w:t>
      </w:r>
      <w:r w:rsidRPr="00C44C42">
        <w:rPr>
          <w:vertAlign w:val="subscript"/>
        </w:rPr>
        <w:t>2</w:t>
      </w:r>
      <w:r w:rsidRPr="00C44C42">
        <w:t xml:space="preserve">-udledning.  </w:t>
      </w:r>
    </w:p>
    <w:p w:rsidR="002014A6" w:rsidRPr="00C44C42" w:rsidRDefault="002014A6" w:rsidP="00C44C42">
      <w:pPr>
        <w:pStyle w:val="Brdtekst"/>
        <w:spacing w:after="0"/>
      </w:pPr>
    </w:p>
    <w:p w:rsidR="00A50AC3" w:rsidRDefault="007F33E6" w:rsidP="002014A6">
      <w:pPr>
        <w:pStyle w:val="Brdtekst"/>
        <w:spacing w:after="0"/>
      </w:pPr>
      <w:r w:rsidRPr="00C44C42">
        <w:t xml:space="preserve">Det vurderes </w:t>
      </w:r>
      <w:r w:rsidR="00C44C42" w:rsidRPr="00C44C42">
        <w:t xml:space="preserve">skønsmæssigt, </w:t>
      </w:r>
      <w:r w:rsidRPr="00C44C42">
        <w:t xml:space="preserve">at Aarhus Kommunens </w:t>
      </w:r>
      <w:r w:rsidR="00C44C42" w:rsidRPr="00C44C42">
        <w:t>samlede CO</w:t>
      </w:r>
      <w:r w:rsidR="00C44C42" w:rsidRPr="00C44C42">
        <w:rPr>
          <w:vertAlign w:val="subscript"/>
        </w:rPr>
        <w:t>2</w:t>
      </w:r>
      <w:r w:rsidR="00C44C42" w:rsidRPr="00C44C42">
        <w:t>-</w:t>
      </w:r>
      <w:r w:rsidRPr="00C44C42">
        <w:t>udledning på virksomhedsniveau er opgjort relativt troværdigt</w:t>
      </w:r>
      <w:r w:rsidR="00147B91" w:rsidRPr="00C44C42">
        <w:t xml:space="preserve"> grundlag</w:t>
      </w:r>
      <w:r w:rsidRPr="00C44C42">
        <w:t xml:space="preserve"> med en skønnet usikkerhed på omkring 5 %. </w:t>
      </w:r>
    </w:p>
    <w:p w:rsidR="00A50AC3" w:rsidRDefault="00A50AC3" w:rsidP="002014A6">
      <w:pPr>
        <w:pStyle w:val="Brdtekst"/>
        <w:spacing w:after="0"/>
      </w:pPr>
    </w:p>
    <w:p w:rsidR="002014A6" w:rsidRPr="00C44C42" w:rsidRDefault="00FE58B4" w:rsidP="002014A6">
      <w:pPr>
        <w:pStyle w:val="Brdtekst"/>
        <w:spacing w:after="0"/>
      </w:pPr>
      <w:r>
        <w:t>V</w:t>
      </w:r>
      <w:r w:rsidR="007F33E6" w:rsidRPr="00C44C42">
        <w:t>arierende registrerings- og konteringsmetoder</w:t>
      </w:r>
      <w:r>
        <w:t xml:space="preserve">, fejlindberetninger af energiforbrug er de primære årsager til usikkerhederne. </w:t>
      </w:r>
      <w:r w:rsidR="002014A6" w:rsidRPr="00C44C42">
        <w:t>Der forekommer større udsving i bl.a. el- og varmeforbrug samt køb af brændstoffer, der ikke umiddelbart er mulige at forklare. Der arbejdes videre på at forbedre datagrundlaget for opgørelsen.</w:t>
      </w:r>
    </w:p>
    <w:p w:rsidR="002014A6" w:rsidRDefault="002014A6" w:rsidP="002014A6">
      <w:pPr>
        <w:pStyle w:val="Brdtekst"/>
      </w:pPr>
    </w:p>
    <w:p w:rsidR="00147B91" w:rsidRPr="00C44C42" w:rsidRDefault="002014A6" w:rsidP="002014A6">
      <w:pPr>
        <w:pStyle w:val="Brdtekst"/>
      </w:pPr>
      <w:r w:rsidRPr="00C44C42">
        <w:t>Det skal bemærkes at administrationsbygningers energiforbrug er registreret i Ejendomsforvaltningen under Teknik og Miljø. Det betyder at f.eks. Rådhusets energiforbrug er placeret under Teknik og Miljø.</w:t>
      </w:r>
      <w:r w:rsidRPr="00C44C42">
        <w:rPr>
          <w:szCs w:val="21"/>
        </w:rPr>
        <w:t xml:space="preserve"> CO</w:t>
      </w:r>
      <w:r w:rsidRPr="00C44C42">
        <w:rPr>
          <w:szCs w:val="21"/>
          <w:vertAlign w:val="subscript"/>
        </w:rPr>
        <w:t>2</w:t>
      </w:r>
      <w:r w:rsidRPr="00C44C42">
        <w:rPr>
          <w:szCs w:val="21"/>
        </w:rPr>
        <w:t xml:space="preserve"> optaget fra vådområder og skovrejsning medregnes under forvaltningen Natur og Miljø under Magistratsafdelingen teknik og Miljø, </w:t>
      </w:r>
      <w:r w:rsidRPr="00C44C42">
        <w:t>idet disse områder forvaltes her.</w:t>
      </w:r>
      <w:r>
        <w:t xml:space="preserve"> </w:t>
      </w:r>
      <w:r w:rsidR="00147B91" w:rsidRPr="00C44C42">
        <w:t>Forbrug og CO</w:t>
      </w:r>
      <w:r w:rsidR="00147B91" w:rsidRPr="00C44C42">
        <w:rPr>
          <w:vertAlign w:val="subscript"/>
        </w:rPr>
        <w:t>2</w:t>
      </w:r>
      <w:r w:rsidR="00147B91" w:rsidRPr="00C44C42">
        <w:t xml:space="preserve">-udledninger der ikke kan relateres til en Magistratsafdeling er </w:t>
      </w:r>
      <w:r w:rsidR="00C44C42" w:rsidRPr="00C44C42">
        <w:t xml:space="preserve">pga. regnetekniske forhold </w:t>
      </w:r>
      <w:r w:rsidR="00147B91" w:rsidRPr="00C44C42">
        <w:t>lagt ind under Borgmesterens Afdeling</w:t>
      </w:r>
      <w:r w:rsidR="00C44C42" w:rsidRPr="00C44C42">
        <w:t>,</w:t>
      </w:r>
      <w:r w:rsidR="00147B91" w:rsidRPr="00C44C42">
        <w:t xml:space="preserve"> hvilket dog er minimalt.</w:t>
      </w:r>
    </w:p>
    <w:p w:rsidR="002014A6" w:rsidRPr="00C44C42" w:rsidRDefault="002014A6" w:rsidP="002014A6">
      <w:pPr>
        <w:pStyle w:val="Brdtekst"/>
      </w:pPr>
      <w:r w:rsidRPr="00C44C42">
        <w:lastRenderedPageBreak/>
        <w:t>Flere bygningerne end tidligere regist</w:t>
      </w:r>
      <w:r w:rsidR="00F03EB8">
        <w:t>r</w:t>
      </w:r>
      <w:r w:rsidRPr="00C44C42">
        <w:t xml:space="preserve">eres nu med deres el- og varme-forbrug ind i Agenda 2100 Der er blevet registreret energiforbrug for flere bygninger i Agenda 2100 energiregistreringssystemet.  Dette har medvirket til en mindre stigninger i </w:t>
      </w:r>
      <w:r w:rsidR="00FE58B4">
        <w:t>det samlede el- og varmeforbrug.</w:t>
      </w:r>
    </w:p>
    <w:p w:rsidR="002014A6" w:rsidRPr="00C44C42" w:rsidRDefault="002014A6" w:rsidP="002014A6">
      <w:pPr>
        <w:pStyle w:val="Brdtekst"/>
      </w:pPr>
      <w:r w:rsidRPr="00C44C42">
        <w:t>Elforbruget til vejbelysning baseret på aflæsning</w:t>
      </w:r>
      <w:r w:rsidR="00F03EB8">
        <w:t>er</w:t>
      </w:r>
      <w:r w:rsidRPr="00C44C42">
        <w:t xml:space="preserve"> fra de forsyningsselskaber der leverer el til vejbelysningen i Aarhus Kommune.</w:t>
      </w:r>
    </w:p>
    <w:p w:rsidR="00C44C42" w:rsidRPr="00C44C42" w:rsidRDefault="00C44C42" w:rsidP="00C44C42">
      <w:pPr>
        <w:pStyle w:val="Brdtekst"/>
      </w:pPr>
      <w:r w:rsidRPr="00C44C42">
        <w:t>For varmeforbrug, trafik og procesemissioner er opgørelse begrænset til at omfatte emissionen af drivhusgassen CO</w:t>
      </w:r>
      <w:r w:rsidRPr="00C44C42">
        <w:rPr>
          <w:vertAlign w:val="subscript"/>
        </w:rPr>
        <w:t>2</w:t>
      </w:r>
      <w:r w:rsidRPr="00C44C42">
        <w:t>. Opgørelse af andre drivhusgasser som metan (CH</w:t>
      </w:r>
      <w:r w:rsidRPr="00C44C42">
        <w:rPr>
          <w:vertAlign w:val="subscript"/>
        </w:rPr>
        <w:t>4</w:t>
      </w:r>
      <w:r w:rsidRPr="00C44C42">
        <w:t>) og lattergas (N</w:t>
      </w:r>
      <w:r w:rsidRPr="00C44C42">
        <w:rPr>
          <w:vertAlign w:val="subscript"/>
        </w:rPr>
        <w:t>2</w:t>
      </w:r>
      <w:r w:rsidRPr="00C44C42">
        <w:t>O) er vanskelige at foretage for disse sektorer og betyder ganske lidt i den samlede opgørelse. CH</w:t>
      </w:r>
      <w:r w:rsidRPr="00C44C42">
        <w:rPr>
          <w:vertAlign w:val="subscript"/>
        </w:rPr>
        <w:t>4</w:t>
      </w:r>
      <w:r w:rsidRPr="00C44C42">
        <w:t xml:space="preserve"> og N</w:t>
      </w:r>
      <w:r w:rsidRPr="00C44C42">
        <w:rPr>
          <w:vertAlign w:val="subscript"/>
        </w:rPr>
        <w:t>2</w:t>
      </w:r>
      <w:r w:rsidRPr="00C44C42">
        <w:t xml:space="preserve">O bidrag fra el er dog medtaget. </w:t>
      </w:r>
    </w:p>
    <w:p w:rsidR="007F33E6" w:rsidRPr="00C44C42" w:rsidRDefault="00C44C42" w:rsidP="007F33E6">
      <w:pPr>
        <w:pStyle w:val="Brdtekst"/>
      </w:pPr>
      <w:r w:rsidRPr="00C44C42">
        <w:t xml:space="preserve">Med hensyn til </w:t>
      </w:r>
      <w:r w:rsidR="007F33E6" w:rsidRPr="00C44C42">
        <w:t xml:space="preserve">transport er der indhentet oplysninger om rejseaktiviteter </w:t>
      </w:r>
      <w:r w:rsidRPr="00C44C42">
        <w:t xml:space="preserve">(tog, fly) </w:t>
      </w:r>
      <w:r w:rsidR="007F33E6" w:rsidRPr="00C44C42">
        <w:t>gennem Carlsson Wagonlit</w:t>
      </w:r>
      <w:r w:rsidRPr="00C44C42">
        <w:t>, der er den største arrangør af rejser til Aarhus Kommune</w:t>
      </w:r>
      <w:r w:rsidR="007F33E6" w:rsidRPr="00C44C42">
        <w:t xml:space="preserve">. Der mangler dog fortsat oplysninger om rejseaktiviteter </w:t>
      </w:r>
      <w:r w:rsidR="00147B91" w:rsidRPr="00C44C42">
        <w:t>fra kommunens andre rejsearrangører</w:t>
      </w:r>
      <w:r w:rsidR="007F33E6" w:rsidRPr="00C44C42">
        <w:t>.</w:t>
      </w:r>
    </w:p>
    <w:p w:rsidR="007F33E6" w:rsidRPr="00C44C42" w:rsidRDefault="00147B91" w:rsidP="007F33E6">
      <w:pPr>
        <w:pStyle w:val="Brdtekst"/>
      </w:pPr>
      <w:r w:rsidRPr="00C44C42">
        <w:t>CO</w:t>
      </w:r>
      <w:r w:rsidRPr="00D373C9">
        <w:rPr>
          <w:vertAlign w:val="subscript"/>
        </w:rPr>
        <w:t>2</w:t>
      </w:r>
      <w:r w:rsidRPr="00C44C42">
        <w:t>-e</w:t>
      </w:r>
      <w:r w:rsidR="007F33E6" w:rsidRPr="00C44C42">
        <w:t xml:space="preserve">missioner </w:t>
      </w:r>
      <w:r w:rsidRPr="00C44C42">
        <w:t>relateret til</w:t>
      </w:r>
      <w:r w:rsidR="007F33E6" w:rsidRPr="00C44C42">
        <w:t xml:space="preserve"> kommunes tjeneste-kørsel er baseret på tal fra Q8 og Statoil for indkøb af brændstof på kontokort samt </w:t>
      </w:r>
      <w:r w:rsidRPr="00C44C42">
        <w:t>bulk-</w:t>
      </w:r>
      <w:r w:rsidR="007F33E6" w:rsidRPr="00C44C42">
        <w:t>levering</w:t>
      </w:r>
      <w:r w:rsidR="00C44C42" w:rsidRPr="00C44C42">
        <w:t xml:space="preserve"> til mindre decentrale tanke</w:t>
      </w:r>
      <w:r w:rsidR="007F33E6" w:rsidRPr="00C44C42">
        <w:t xml:space="preserve">. Medarbejdernes tjeneste-kørsel er baseret på udbetalte kørselsgodtgørelser. </w:t>
      </w:r>
    </w:p>
    <w:p w:rsidR="007F33E6" w:rsidRPr="00147B91" w:rsidRDefault="007F33E6" w:rsidP="007F33E6">
      <w:pPr>
        <w:pStyle w:val="Brdtekst"/>
      </w:pPr>
      <w:r w:rsidRPr="00C44C42">
        <w:t>Data for energi-forbruget ved AffaldVarme Aarhus baseres primært på det grønne regnskab samt data for elforbrug for transmissionspumper ol.</w:t>
      </w:r>
      <w:r w:rsidR="00BB49EE">
        <w:t xml:space="preserve"> Energiforbrug ved Aarhus Vand er primært el-forbrug til tekniske anlæg, dvs. renseanlæg og vandforsyningsanlæg.</w:t>
      </w:r>
      <w:r w:rsidR="007F0E5D">
        <w:t xml:space="preserve"> For Midttrafik er det primært energiforbrug/diesel relateret til bybusdriften i Aarhus Kommune. </w:t>
      </w:r>
    </w:p>
    <w:p w:rsidR="009771E8" w:rsidRDefault="009771E8">
      <w:r>
        <w:br w:type="page"/>
      </w:r>
    </w:p>
    <w:p w:rsidR="00BA3E4B" w:rsidRPr="00D72108" w:rsidRDefault="006B7FC5" w:rsidP="00EA7996">
      <w:pPr>
        <w:pStyle w:val="Overskrift1"/>
        <w:numPr>
          <w:ilvl w:val="0"/>
          <w:numId w:val="12"/>
        </w:numPr>
      </w:pPr>
      <w:bookmarkStart w:id="11" w:name="_Toc300217010"/>
      <w:r w:rsidRPr="00D72108">
        <w:lastRenderedPageBreak/>
        <w:t>Elforbrug</w:t>
      </w:r>
      <w:bookmarkEnd w:id="11"/>
    </w:p>
    <w:p w:rsidR="009771E8" w:rsidRDefault="00B7535C" w:rsidP="009771E8">
      <w:pPr>
        <w:pStyle w:val="Brdtekst"/>
      </w:pPr>
      <w:r w:rsidRPr="00D72108">
        <w:rPr>
          <w:noProof/>
          <w:lang w:eastAsia="da-DK"/>
        </w:rPr>
        <w:drawing>
          <wp:anchor distT="0" distB="0" distL="114300" distR="114300" simplePos="0" relativeHeight="251720704" behindDoc="0" locked="0" layoutInCell="1" allowOverlap="1">
            <wp:simplePos x="0" y="0"/>
            <wp:positionH relativeFrom="column">
              <wp:posOffset>-36830</wp:posOffset>
            </wp:positionH>
            <wp:positionV relativeFrom="paragraph">
              <wp:posOffset>723900</wp:posOffset>
            </wp:positionV>
            <wp:extent cx="6010275" cy="3260725"/>
            <wp:effectExtent l="19050" t="0" r="9525" b="0"/>
            <wp:wrapTopAndBottom/>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6B7FC5" w:rsidRPr="00D72108">
        <w:t xml:space="preserve">Oplysninger om elforbruget i </w:t>
      </w:r>
      <w:r w:rsidR="006860D0" w:rsidRPr="00D72108">
        <w:t>Aarhus</w:t>
      </w:r>
      <w:r w:rsidR="006B7FC5" w:rsidRPr="00D72108">
        <w:t xml:space="preserve"> Kommune er </w:t>
      </w:r>
      <w:r w:rsidR="00EB25A0" w:rsidRPr="00D72108">
        <w:t>bl.a.</w:t>
      </w:r>
      <w:r w:rsidR="003D309D" w:rsidRPr="00D72108">
        <w:t xml:space="preserve"> </w:t>
      </w:r>
      <w:r w:rsidR="00F8779E" w:rsidRPr="00D72108">
        <w:t xml:space="preserve">hentet </w:t>
      </w:r>
      <w:r w:rsidR="003D309D" w:rsidRPr="00D72108">
        <w:t xml:space="preserve">via </w:t>
      </w:r>
      <w:r w:rsidR="009771E8" w:rsidRPr="00D72108">
        <w:t xml:space="preserve">kommunens elektroniske registreringssystem </w:t>
      </w:r>
      <w:r w:rsidR="003D309D" w:rsidRPr="00D72108">
        <w:t>Agenda 2100</w:t>
      </w:r>
      <w:r w:rsidR="00EB25A0" w:rsidRPr="00D72108">
        <w:t xml:space="preserve">, og </w:t>
      </w:r>
      <w:r w:rsidR="00F8779E" w:rsidRPr="00D72108">
        <w:t xml:space="preserve">suppleret med oplysninger fra </w:t>
      </w:r>
      <w:r w:rsidR="007C79CC" w:rsidRPr="00D72108">
        <w:t xml:space="preserve">AffaldVarme Aarhus, </w:t>
      </w:r>
      <w:r w:rsidR="00D30D38" w:rsidRPr="00D72108">
        <w:t xml:space="preserve">Busselskabet </w:t>
      </w:r>
      <w:r w:rsidR="006860D0" w:rsidRPr="00D72108">
        <w:t>Aarhus</w:t>
      </w:r>
      <w:r w:rsidR="00B672BF" w:rsidRPr="00D72108">
        <w:t xml:space="preserve"> Sporveje</w:t>
      </w:r>
      <w:r w:rsidR="00D30D38" w:rsidRPr="00D72108">
        <w:t>(Midttrafik</w:t>
      </w:r>
      <w:r w:rsidR="00B672BF" w:rsidRPr="00D72108">
        <w:t>)</w:t>
      </w:r>
      <w:r w:rsidR="007C79CC" w:rsidRPr="00D72108">
        <w:t xml:space="preserve"> og</w:t>
      </w:r>
      <w:r w:rsidR="003D309D" w:rsidRPr="00D72108">
        <w:t xml:space="preserve"> </w:t>
      </w:r>
      <w:r w:rsidR="006860D0" w:rsidRPr="00D72108">
        <w:t>Aarhus</w:t>
      </w:r>
      <w:r w:rsidR="003D309D" w:rsidRPr="00D72108">
        <w:t xml:space="preserve"> Vand A</w:t>
      </w:r>
      <w:r w:rsidR="007C79CC" w:rsidRPr="00D72108">
        <w:t>/S</w:t>
      </w:r>
      <w:r w:rsidR="006B7FC5" w:rsidRPr="00D72108">
        <w:t xml:space="preserve">. </w:t>
      </w:r>
      <w:r w:rsidR="00D30D38" w:rsidRPr="00D72108">
        <w:t xml:space="preserve">Fordelingen af el-forbruget </w:t>
      </w:r>
      <w:r w:rsidR="00584C9B" w:rsidRPr="00D72108">
        <w:t xml:space="preserve">er vist i </w:t>
      </w:r>
      <w:r w:rsidR="009771E8" w:rsidRPr="00D72108">
        <w:t>figur</w:t>
      </w:r>
      <w:r w:rsidR="006B7FC5" w:rsidRPr="00D72108">
        <w:t xml:space="preserve"> </w:t>
      </w:r>
      <w:r w:rsidR="00EA7996" w:rsidRPr="00D72108">
        <w:t>3</w:t>
      </w:r>
      <w:r w:rsidR="006B7FC5" w:rsidRPr="00D72108">
        <w:t>.</w:t>
      </w:r>
      <w:r w:rsidR="006B7FC5">
        <w:t>1.</w:t>
      </w:r>
    </w:p>
    <w:p w:rsidR="00BA3E4B" w:rsidRDefault="00584C9B" w:rsidP="002F6F69">
      <w:pPr>
        <w:pStyle w:val="Billedtekst"/>
      </w:pPr>
      <w:r w:rsidRPr="002B59DD">
        <w:t xml:space="preserve">Figur </w:t>
      </w:r>
      <w:r w:rsidR="00EA7996">
        <w:t>3</w:t>
      </w:r>
      <w:r w:rsidR="006B7FC5" w:rsidRPr="002B59DD">
        <w:t xml:space="preserve">.1: Fordelingen af registreret elforbrug i </w:t>
      </w:r>
      <w:r w:rsidR="006860D0">
        <w:t>Aarhus</w:t>
      </w:r>
      <w:r w:rsidR="006B7FC5" w:rsidRPr="002B59DD">
        <w:t xml:space="preserve"> Kommunes virksomhed, 20</w:t>
      </w:r>
      <w:r w:rsidR="009771E8">
        <w:t>1</w:t>
      </w:r>
      <w:r w:rsidR="005859AC" w:rsidRPr="002B59DD">
        <w:t>0</w:t>
      </w:r>
      <w:r w:rsidR="006B7FC5" w:rsidRPr="002B59DD">
        <w:t>, fo</w:t>
      </w:r>
      <w:r w:rsidR="009771E8">
        <w:t>rdelt på Magistratsafdelinger</w:t>
      </w:r>
      <w:r w:rsidR="002F181A">
        <w:t>, Borgmesterens afdeling</w:t>
      </w:r>
      <w:r w:rsidR="006B7FC5" w:rsidRPr="002B59DD">
        <w:t xml:space="preserve"> </w:t>
      </w:r>
      <w:r w:rsidR="005859AC" w:rsidRPr="002B59DD">
        <w:t>samt</w:t>
      </w:r>
      <w:r w:rsidR="006B7FC5" w:rsidRPr="002B59DD">
        <w:t xml:space="preserve"> kommunalt ejede eller delvist kommunalt ejede selskaber.</w:t>
      </w:r>
      <w:r w:rsidR="006B7FC5" w:rsidRPr="003D309D">
        <w:t xml:space="preserve"> </w:t>
      </w:r>
    </w:p>
    <w:p w:rsidR="009771E8" w:rsidRDefault="00BF67BD" w:rsidP="009771E8">
      <w:r w:rsidRPr="00BF67BD">
        <w:rPr>
          <w:noProof/>
          <w:lang w:eastAsia="da-DK"/>
        </w:rPr>
        <w:drawing>
          <wp:anchor distT="0" distB="0" distL="114300" distR="114300" simplePos="0" relativeHeight="251722752" behindDoc="0" locked="0" layoutInCell="1" allowOverlap="1">
            <wp:simplePos x="0" y="0"/>
            <wp:positionH relativeFrom="column">
              <wp:posOffset>-36830</wp:posOffset>
            </wp:positionH>
            <wp:positionV relativeFrom="paragraph">
              <wp:posOffset>931545</wp:posOffset>
            </wp:positionV>
            <wp:extent cx="4704080" cy="2691130"/>
            <wp:effectExtent l="19050" t="0" r="20320" b="0"/>
            <wp:wrapTopAndBottom/>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422EC" w:rsidRPr="00BF67BD">
        <w:t xml:space="preserve"> </w:t>
      </w:r>
      <w:r w:rsidR="001157EA" w:rsidRPr="00BF67BD">
        <w:t>Det samlede e</w:t>
      </w:r>
      <w:r w:rsidR="009771E8" w:rsidRPr="00BF67BD">
        <w:t xml:space="preserve">lforbrug </w:t>
      </w:r>
      <w:r w:rsidRPr="00BF67BD">
        <w:t xml:space="preserve">i 2010 er knap 150.000 MWh, hvilket er en stigning på knap 1.000 MWh i forhold til 2009. </w:t>
      </w:r>
      <w:r w:rsidR="00B61B59" w:rsidRPr="00BF67BD">
        <w:t xml:space="preserve">Elforbruget </w:t>
      </w:r>
      <w:r w:rsidRPr="00BF67BD">
        <w:t xml:space="preserve">i 2010 </w:t>
      </w:r>
      <w:r w:rsidR="00B61B59" w:rsidRPr="00BF67BD">
        <w:t>giver anledning til en CO</w:t>
      </w:r>
      <w:r w:rsidR="00B61B59" w:rsidRPr="00BF67BD">
        <w:rPr>
          <w:vertAlign w:val="subscript"/>
        </w:rPr>
        <w:t>2</w:t>
      </w:r>
      <w:r w:rsidR="00B61B59" w:rsidRPr="00BF67BD">
        <w:t>-udledning på 78.600 ton, hvilket er et fald på ca. 2.500 ton CO</w:t>
      </w:r>
      <w:r w:rsidR="00B61B59" w:rsidRPr="00BF67BD">
        <w:rPr>
          <w:vertAlign w:val="subscript"/>
        </w:rPr>
        <w:t>2</w:t>
      </w:r>
      <w:r w:rsidR="00B61B59" w:rsidRPr="00BF67BD">
        <w:t xml:space="preserve"> i forhold til 2009. Dette skyldes at emissionsfaktoren for el er faldet fra 542 kg CO</w:t>
      </w:r>
      <w:r w:rsidR="00B61B59" w:rsidRPr="00BF67BD">
        <w:rPr>
          <w:vertAlign w:val="subscript"/>
        </w:rPr>
        <w:t>2</w:t>
      </w:r>
      <w:r w:rsidR="00B61B59" w:rsidRPr="00BF67BD">
        <w:t>/MWh til 526 CO</w:t>
      </w:r>
      <w:r w:rsidR="00B61B59" w:rsidRPr="00BF67BD">
        <w:rPr>
          <w:vertAlign w:val="subscript"/>
        </w:rPr>
        <w:t>2</w:t>
      </w:r>
      <w:r w:rsidR="00B61B59" w:rsidRPr="00BF67BD">
        <w:t xml:space="preserve">/MWh. </w:t>
      </w:r>
      <w:r w:rsidR="00EA7996" w:rsidRPr="00BF67BD">
        <w:t>I figur 3</w:t>
      </w:r>
      <w:r w:rsidR="009771E8" w:rsidRPr="00BF67BD">
        <w:t xml:space="preserve">.2 ses udviklingen </w:t>
      </w:r>
      <w:r w:rsidR="001157EA" w:rsidRPr="00BF67BD">
        <w:t xml:space="preserve">af det samlede </w:t>
      </w:r>
      <w:r w:rsidR="009771E8" w:rsidRPr="00BF67BD">
        <w:t>el-forbrug for 2008</w:t>
      </w:r>
      <w:r w:rsidR="00D373C9" w:rsidRPr="00BF67BD">
        <w:t>, 2009 og</w:t>
      </w:r>
      <w:r w:rsidR="009771E8" w:rsidRPr="00BF67BD">
        <w:t xml:space="preserve"> 2010.</w:t>
      </w:r>
    </w:p>
    <w:p w:rsidR="009771E8" w:rsidRDefault="009771E8" w:rsidP="009771E8">
      <w:pPr>
        <w:pStyle w:val="Billedtekst"/>
      </w:pPr>
      <w:r w:rsidRPr="002B59DD">
        <w:t>Fi</w:t>
      </w:r>
      <w:r w:rsidR="00EA7996">
        <w:t>gur 3</w:t>
      </w:r>
      <w:r>
        <w:t>.2</w:t>
      </w:r>
      <w:r w:rsidRPr="002B59DD">
        <w:t xml:space="preserve">: </w:t>
      </w:r>
      <w:r>
        <w:t xml:space="preserve">Udviklingen af </w:t>
      </w:r>
      <w:r w:rsidRPr="002B59DD">
        <w:t xml:space="preserve">registreret elforbrug i </w:t>
      </w:r>
      <w:r>
        <w:t>Aarhus Kommunes virksomhed for årene 2008 til</w:t>
      </w:r>
      <w:r w:rsidRPr="002B59DD">
        <w:t xml:space="preserve"> 20</w:t>
      </w:r>
      <w:r>
        <w:t>1</w:t>
      </w:r>
      <w:r w:rsidRPr="002B59DD">
        <w:t>0.</w:t>
      </w:r>
      <w:r w:rsidRPr="003D309D">
        <w:t xml:space="preserve"> </w:t>
      </w:r>
    </w:p>
    <w:p w:rsidR="00BA3E4B" w:rsidRDefault="006B7FC5" w:rsidP="00EA7996">
      <w:pPr>
        <w:pStyle w:val="Overskrift1"/>
        <w:numPr>
          <w:ilvl w:val="0"/>
          <w:numId w:val="12"/>
        </w:numPr>
      </w:pPr>
      <w:bookmarkStart w:id="12" w:name="_Toc300217011"/>
      <w:r>
        <w:lastRenderedPageBreak/>
        <w:t>Varmeforbrug</w:t>
      </w:r>
      <w:bookmarkEnd w:id="12"/>
    </w:p>
    <w:p w:rsidR="009771E8" w:rsidRDefault="009771E8" w:rsidP="009771E8">
      <w:pPr>
        <w:pStyle w:val="Brdtekst"/>
      </w:pPr>
      <w:r>
        <w:t xml:space="preserve">Fordelingen af varmeforbruget på Magistratsafdelinger, </w:t>
      </w:r>
      <w:r w:rsidR="002F181A">
        <w:t>Borgmesterens afdeling</w:t>
      </w:r>
      <w:r w:rsidR="002F181A" w:rsidRPr="002B59DD">
        <w:t xml:space="preserve"> </w:t>
      </w:r>
      <w:r w:rsidR="002F181A">
        <w:t xml:space="preserve">samt </w:t>
      </w:r>
      <w:r w:rsidR="008645A1">
        <w:t>Busselskabet Aarhus Sporveje (</w:t>
      </w:r>
      <w:r>
        <w:t>Midttrafik</w:t>
      </w:r>
      <w:r w:rsidR="008645A1">
        <w:t>)</w:t>
      </w:r>
      <w:r>
        <w:t xml:space="preserve"> og </w:t>
      </w:r>
      <w:r w:rsidR="00EA7996">
        <w:t>Aarhus Vand AS er vist i figur 4</w:t>
      </w:r>
      <w:r>
        <w:t>.1.</w:t>
      </w:r>
    </w:p>
    <w:p w:rsidR="00EB1E83" w:rsidRDefault="00EB1E83" w:rsidP="009771E8">
      <w:pPr>
        <w:pStyle w:val="Brdtekst"/>
      </w:pPr>
    </w:p>
    <w:p w:rsidR="00BA3E4B" w:rsidRDefault="00E30061" w:rsidP="004928BC">
      <w:pPr>
        <w:pStyle w:val="Billedtekst"/>
      </w:pPr>
      <w:r>
        <w:rPr>
          <w:noProof/>
          <w:lang w:eastAsia="da-DK"/>
        </w:rPr>
        <w:drawing>
          <wp:anchor distT="0" distB="0" distL="114300" distR="114300" simplePos="0" relativeHeight="251724800" behindDoc="0" locked="0" layoutInCell="1" allowOverlap="1">
            <wp:simplePos x="0" y="0"/>
            <wp:positionH relativeFrom="column">
              <wp:posOffset>-11430</wp:posOffset>
            </wp:positionH>
            <wp:positionV relativeFrom="paragraph">
              <wp:posOffset>109220</wp:posOffset>
            </wp:positionV>
            <wp:extent cx="5732780" cy="3355340"/>
            <wp:effectExtent l="19050" t="0" r="20320" b="0"/>
            <wp:wrapTopAndBottom/>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BF67BD" w:rsidRPr="00BF67BD">
        <w:t xml:space="preserve"> </w:t>
      </w:r>
      <w:r w:rsidR="00EA7996">
        <w:t>Figur 4</w:t>
      </w:r>
      <w:r w:rsidR="009771E8">
        <w:t xml:space="preserve">.1 Fordelingen af </w:t>
      </w:r>
      <w:r w:rsidR="006B7FC5">
        <w:t xml:space="preserve">varmeforbrug </w:t>
      </w:r>
      <w:r w:rsidR="009771E8">
        <w:t>på Magistratsafdelinger</w:t>
      </w:r>
      <w:r w:rsidR="002F181A">
        <w:t>, Borgmesterens afdeling</w:t>
      </w:r>
      <w:r w:rsidR="009771E8">
        <w:t xml:space="preserve"> </w:t>
      </w:r>
      <w:r w:rsidR="005859AC">
        <w:t>samt</w:t>
      </w:r>
      <w:r w:rsidR="006B7FC5">
        <w:t xml:space="preserve"> kommunalt ejede eller delvist kommunalt ejede selskaber. </w:t>
      </w:r>
    </w:p>
    <w:p w:rsidR="00771A1D" w:rsidRDefault="00771A1D" w:rsidP="00771A1D">
      <w:r>
        <w:t>Varmeforbruget i 2010 er 175.000 MWh, hvilket er et fald på knap 2.000 MWh i forhold 2009. I figur 4.2 ses udviklingen i varme-forbruget for 2008, 2009 og 2010.</w:t>
      </w:r>
    </w:p>
    <w:p w:rsidR="00771A1D" w:rsidRDefault="00771A1D" w:rsidP="00771A1D">
      <w:pPr>
        <w:pStyle w:val="Brdtekst"/>
        <w:rPr>
          <w:b/>
          <w:bCs/>
          <w:color w:val="4F81BD" w:themeColor="accent1"/>
          <w:sz w:val="18"/>
          <w:szCs w:val="18"/>
        </w:rPr>
      </w:pPr>
      <w:r>
        <w:rPr>
          <w:b/>
          <w:bCs/>
          <w:noProof/>
          <w:color w:val="4F81BD" w:themeColor="accent1"/>
          <w:sz w:val="18"/>
          <w:szCs w:val="18"/>
          <w:lang w:eastAsia="da-DK"/>
        </w:rPr>
        <w:drawing>
          <wp:anchor distT="0" distB="0" distL="114300" distR="114300" simplePos="0" relativeHeight="251726848" behindDoc="0" locked="0" layoutInCell="1" allowOverlap="1">
            <wp:simplePos x="0" y="0"/>
            <wp:positionH relativeFrom="column">
              <wp:posOffset>-11430</wp:posOffset>
            </wp:positionH>
            <wp:positionV relativeFrom="paragraph">
              <wp:posOffset>53975</wp:posOffset>
            </wp:positionV>
            <wp:extent cx="3632835" cy="2216785"/>
            <wp:effectExtent l="19050" t="0" r="24765" b="0"/>
            <wp:wrapTopAndBottom/>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b/>
          <w:bCs/>
          <w:color w:val="4F81BD" w:themeColor="accent1"/>
          <w:sz w:val="18"/>
          <w:szCs w:val="18"/>
        </w:rPr>
        <w:t>Figur 4</w:t>
      </w:r>
      <w:r w:rsidRPr="00DB09DB">
        <w:rPr>
          <w:b/>
          <w:bCs/>
          <w:color w:val="4F81BD" w:themeColor="accent1"/>
          <w:sz w:val="18"/>
          <w:szCs w:val="18"/>
        </w:rPr>
        <w:t xml:space="preserve">.2 Udviklingen af registreret </w:t>
      </w:r>
      <w:r>
        <w:rPr>
          <w:b/>
          <w:bCs/>
          <w:color w:val="4F81BD" w:themeColor="accent1"/>
          <w:sz w:val="18"/>
          <w:szCs w:val="18"/>
        </w:rPr>
        <w:t>samlet varme</w:t>
      </w:r>
      <w:r w:rsidRPr="00DB09DB">
        <w:rPr>
          <w:b/>
          <w:bCs/>
          <w:color w:val="4F81BD" w:themeColor="accent1"/>
          <w:sz w:val="18"/>
          <w:szCs w:val="18"/>
        </w:rPr>
        <w:t xml:space="preserve">forbrug i Aarhus Kommunes virksomhed for årene 2008 til 2010. </w:t>
      </w:r>
    </w:p>
    <w:p w:rsidR="008645A1" w:rsidRDefault="008645A1" w:rsidP="008645A1">
      <w:r>
        <w:t>Varmeforbruget i 2010 giver anledning til en CO</w:t>
      </w:r>
      <w:r w:rsidRPr="00D373C9">
        <w:rPr>
          <w:vertAlign w:val="subscript"/>
        </w:rPr>
        <w:t>2</w:t>
      </w:r>
      <w:r>
        <w:t xml:space="preserve">-udledning på </w:t>
      </w:r>
      <w:r w:rsidR="00E30061">
        <w:t>30</w:t>
      </w:r>
      <w:r>
        <w:t>.000 ton CO</w:t>
      </w:r>
      <w:r w:rsidRPr="00D373C9">
        <w:rPr>
          <w:vertAlign w:val="subscript"/>
        </w:rPr>
        <w:t>2</w:t>
      </w:r>
      <w:r>
        <w:t xml:space="preserve">, hvilket </w:t>
      </w:r>
      <w:r w:rsidR="00E30061">
        <w:t xml:space="preserve">svarer til udledningen i </w:t>
      </w:r>
      <w:r>
        <w:t xml:space="preserve">2009. </w:t>
      </w:r>
    </w:p>
    <w:p w:rsidR="009771E8" w:rsidRDefault="00A94926" w:rsidP="009771E8">
      <w:r w:rsidRPr="00A94926">
        <w:lastRenderedPageBreak/>
        <w:t xml:space="preserve"> </w:t>
      </w:r>
      <w:r w:rsidR="009771E8">
        <w:t>CO</w:t>
      </w:r>
      <w:r w:rsidR="009771E8" w:rsidRPr="00D373C9">
        <w:rPr>
          <w:vertAlign w:val="subscript"/>
        </w:rPr>
        <w:t>2</w:t>
      </w:r>
      <w:r w:rsidR="009771E8">
        <w:t xml:space="preserve">-udledningen </w:t>
      </w:r>
      <w:r w:rsidR="00AC5F4F">
        <w:t>rel</w:t>
      </w:r>
      <w:r w:rsidR="004257B1">
        <w:t>a</w:t>
      </w:r>
      <w:r w:rsidR="00AC5F4F">
        <w:t xml:space="preserve">teret til varmeforbruget er </w:t>
      </w:r>
      <w:r w:rsidR="009771E8">
        <w:t xml:space="preserve">afhængig af det reelle </w:t>
      </w:r>
      <w:r w:rsidR="00DB09DB">
        <w:t>varme</w:t>
      </w:r>
      <w:r w:rsidR="009771E8">
        <w:t xml:space="preserve">-forbrug og af emissionsfaktoren for </w:t>
      </w:r>
      <w:r w:rsidR="00DB09DB">
        <w:t>fjernvarme</w:t>
      </w:r>
      <w:r w:rsidR="009771E8">
        <w:t xml:space="preserve"> (kg CO</w:t>
      </w:r>
      <w:r w:rsidR="009771E8" w:rsidRPr="00D373C9">
        <w:rPr>
          <w:vertAlign w:val="subscript"/>
        </w:rPr>
        <w:t>2</w:t>
      </w:r>
      <w:r w:rsidR="009771E8">
        <w:t>/MWH).</w:t>
      </w:r>
      <w:r w:rsidR="00DB09DB">
        <w:t xml:space="preserve"> </w:t>
      </w:r>
      <w:r w:rsidR="009771E8">
        <w:t xml:space="preserve">Emissionsfaktoren </w:t>
      </w:r>
      <w:r w:rsidR="00DB09DB">
        <w:t xml:space="preserve">for fjernvarme </w:t>
      </w:r>
      <w:r w:rsidR="009771E8">
        <w:t xml:space="preserve">er fra 2009 til 2010 </w:t>
      </w:r>
      <w:r w:rsidR="00DB09DB">
        <w:t>steget</w:t>
      </w:r>
      <w:r w:rsidR="009771E8">
        <w:t xml:space="preserve"> fra </w:t>
      </w:r>
      <w:r w:rsidR="00DB09DB">
        <w:t>161</w:t>
      </w:r>
      <w:r w:rsidR="009771E8">
        <w:t xml:space="preserve"> kg CO</w:t>
      </w:r>
      <w:r w:rsidR="009771E8" w:rsidRPr="00D373C9">
        <w:rPr>
          <w:vertAlign w:val="subscript"/>
        </w:rPr>
        <w:t>2</w:t>
      </w:r>
      <w:r w:rsidR="009771E8">
        <w:t xml:space="preserve">/MWh til </w:t>
      </w:r>
      <w:r w:rsidR="00DB09DB">
        <w:t>163</w:t>
      </w:r>
      <w:r w:rsidR="009771E8">
        <w:t xml:space="preserve"> kg CO</w:t>
      </w:r>
      <w:r w:rsidR="009771E8" w:rsidRPr="00D373C9">
        <w:rPr>
          <w:vertAlign w:val="subscript"/>
        </w:rPr>
        <w:t>2</w:t>
      </w:r>
      <w:r w:rsidR="009771E8">
        <w:t xml:space="preserve">/MWh. </w:t>
      </w:r>
    </w:p>
    <w:p w:rsidR="00BA3E4B" w:rsidRDefault="006B7FC5" w:rsidP="00EA7996">
      <w:pPr>
        <w:pStyle w:val="Overskrift1"/>
        <w:numPr>
          <w:ilvl w:val="0"/>
          <w:numId w:val="12"/>
        </w:numPr>
      </w:pPr>
      <w:bookmarkStart w:id="13" w:name="_Toc300217012"/>
      <w:r>
        <w:t>Tra</w:t>
      </w:r>
      <w:r w:rsidR="008645A1">
        <w:t>nsport</w:t>
      </w:r>
      <w:bookmarkEnd w:id="13"/>
    </w:p>
    <w:p w:rsidR="003A3735" w:rsidRDefault="006B7FC5" w:rsidP="003A3735">
      <w:pPr>
        <w:pStyle w:val="Brdtekst"/>
      </w:pPr>
      <w:r>
        <w:t>CO</w:t>
      </w:r>
      <w:r>
        <w:rPr>
          <w:vertAlign w:val="subscript"/>
        </w:rPr>
        <w:t>2</w:t>
      </w:r>
      <w:r w:rsidR="00584C9B">
        <w:t xml:space="preserve"> udledningen </w:t>
      </w:r>
      <w:r w:rsidR="00F928DA">
        <w:t>f</w:t>
      </w:r>
      <w:r w:rsidR="00E35052">
        <w:t>r</w:t>
      </w:r>
      <w:r w:rsidR="00F928DA">
        <w:t>a</w:t>
      </w:r>
      <w:r w:rsidR="00E35052">
        <w:t xml:space="preserve"> kommunens transport </w:t>
      </w:r>
      <w:r w:rsidR="00584C9B">
        <w:t>er vist i</w:t>
      </w:r>
      <w:r w:rsidR="00EA7996">
        <w:t xml:space="preserve"> tabel 5</w:t>
      </w:r>
      <w:r w:rsidR="00F928DA">
        <w:t>.1</w:t>
      </w:r>
      <w:r>
        <w:t xml:space="preserve">. </w:t>
      </w:r>
      <w:r w:rsidR="008645A1">
        <w:t xml:space="preserve">Busselskabet </w:t>
      </w:r>
      <w:r w:rsidR="003A3735" w:rsidRPr="00F82C6B">
        <w:t>Aarhus Sporveje</w:t>
      </w:r>
      <w:r w:rsidR="008645A1">
        <w:t xml:space="preserve"> (Midttrafik</w:t>
      </w:r>
      <w:r w:rsidR="003A3735" w:rsidRPr="00F82C6B">
        <w:t xml:space="preserve">) udgør med sit forbrug af diesel til </w:t>
      </w:r>
      <w:r w:rsidR="003A3735">
        <w:t>by</w:t>
      </w:r>
      <w:r w:rsidR="003A3735" w:rsidRPr="00F82C6B">
        <w:t>busdriften 73</w:t>
      </w:r>
      <w:r w:rsidR="003A3735">
        <w:t xml:space="preserve"> </w:t>
      </w:r>
      <w:r w:rsidR="003A3735" w:rsidRPr="00F82C6B">
        <w:t>% af den samlede CO</w:t>
      </w:r>
      <w:r w:rsidR="003A3735" w:rsidRPr="00D373C9">
        <w:rPr>
          <w:vertAlign w:val="subscript"/>
        </w:rPr>
        <w:t>2</w:t>
      </w:r>
      <w:r w:rsidR="003A3735" w:rsidRPr="00F82C6B">
        <w:t>-udledning relateret til tran</w:t>
      </w:r>
      <w:r w:rsidR="003A3735">
        <w:t>s</w:t>
      </w:r>
      <w:r w:rsidR="003A3735" w:rsidRPr="00F82C6B">
        <w:t xml:space="preserve">portområdet. </w:t>
      </w:r>
      <w:r w:rsidR="003A3735">
        <w:t>Den resterende CO</w:t>
      </w:r>
      <w:r w:rsidR="003A3735" w:rsidRPr="00D373C9">
        <w:rPr>
          <w:vertAlign w:val="subscript"/>
        </w:rPr>
        <w:t>2</w:t>
      </w:r>
      <w:r w:rsidR="003A3735">
        <w:t>-udledning stammer fra kommunens tjenestekørsel og en smule fra tog- og flyrejser.</w:t>
      </w:r>
    </w:p>
    <w:tbl>
      <w:tblPr>
        <w:tblW w:w="0" w:type="auto"/>
        <w:tblInd w:w="65" w:type="dxa"/>
        <w:tblCellMar>
          <w:left w:w="70" w:type="dxa"/>
          <w:right w:w="70" w:type="dxa"/>
        </w:tblCellMar>
        <w:tblLook w:val="04A0"/>
      </w:tblPr>
      <w:tblGrid>
        <w:gridCol w:w="3548"/>
        <w:gridCol w:w="807"/>
        <w:gridCol w:w="2329"/>
      </w:tblGrid>
      <w:tr w:rsidR="005859AC" w:rsidRPr="005859AC" w:rsidTr="00771A1D">
        <w:trPr>
          <w:trHeight w:val="258"/>
        </w:trPr>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859AC" w:rsidRPr="00771A1D" w:rsidRDefault="005859AC" w:rsidP="005859AC">
            <w:pPr>
              <w:rPr>
                <w:b/>
                <w:sz w:val="20"/>
                <w:szCs w:val="23"/>
              </w:rPr>
            </w:pPr>
            <w:r w:rsidRPr="00771A1D">
              <w:rPr>
                <w:b/>
                <w:sz w:val="20"/>
                <w:szCs w:val="23"/>
              </w:rPr>
              <w:t>Tra</w:t>
            </w:r>
            <w:r w:rsidR="008645A1" w:rsidRPr="00771A1D">
              <w:rPr>
                <w:b/>
                <w:sz w:val="20"/>
                <w:szCs w:val="23"/>
              </w:rPr>
              <w:t>nsport</w:t>
            </w:r>
          </w:p>
        </w:tc>
        <w:tc>
          <w:tcPr>
            <w:tcW w:w="0" w:type="auto"/>
            <w:tcBorders>
              <w:top w:val="single" w:sz="4" w:space="0" w:color="auto"/>
              <w:left w:val="nil"/>
              <w:bottom w:val="single" w:sz="4" w:space="0" w:color="auto"/>
              <w:right w:val="single" w:sz="4" w:space="0" w:color="auto"/>
            </w:tcBorders>
            <w:shd w:val="clear" w:color="000000" w:fill="C0C0C0"/>
            <w:noWrap/>
            <w:vAlign w:val="bottom"/>
            <w:hideMark/>
          </w:tcPr>
          <w:p w:rsidR="005859AC" w:rsidRPr="00771A1D" w:rsidRDefault="005859AC" w:rsidP="005859AC">
            <w:pPr>
              <w:rPr>
                <w:b/>
                <w:sz w:val="20"/>
                <w:szCs w:val="23"/>
              </w:rPr>
            </w:pPr>
            <w:r w:rsidRPr="00771A1D">
              <w:rPr>
                <w:b/>
                <w:sz w:val="20"/>
                <w:szCs w:val="23"/>
              </w:rPr>
              <w:t>Ton CO</w:t>
            </w:r>
            <w:r w:rsidRPr="00771A1D">
              <w:rPr>
                <w:b/>
                <w:sz w:val="20"/>
                <w:szCs w:val="23"/>
                <w:vertAlign w:val="subscript"/>
              </w:rPr>
              <w:t>2</w:t>
            </w:r>
          </w:p>
        </w:tc>
        <w:tc>
          <w:tcPr>
            <w:tcW w:w="0" w:type="auto"/>
            <w:tcBorders>
              <w:top w:val="single" w:sz="4" w:space="0" w:color="auto"/>
              <w:left w:val="nil"/>
              <w:bottom w:val="single" w:sz="4" w:space="0" w:color="auto"/>
              <w:right w:val="single" w:sz="4" w:space="0" w:color="auto"/>
            </w:tcBorders>
            <w:shd w:val="clear" w:color="000000" w:fill="C0C0C0"/>
            <w:noWrap/>
            <w:vAlign w:val="bottom"/>
            <w:hideMark/>
          </w:tcPr>
          <w:p w:rsidR="005859AC" w:rsidRPr="00771A1D" w:rsidRDefault="005859AC" w:rsidP="005859AC">
            <w:pPr>
              <w:rPr>
                <w:b/>
                <w:sz w:val="20"/>
                <w:szCs w:val="23"/>
              </w:rPr>
            </w:pPr>
            <w:r w:rsidRPr="00771A1D">
              <w:rPr>
                <w:b/>
                <w:sz w:val="20"/>
                <w:szCs w:val="23"/>
              </w:rPr>
              <w:t>% af total</w:t>
            </w:r>
            <w:r w:rsidR="002B59DD" w:rsidRPr="00771A1D">
              <w:rPr>
                <w:b/>
                <w:sz w:val="20"/>
                <w:szCs w:val="23"/>
              </w:rPr>
              <w:t xml:space="preserve"> CO</w:t>
            </w:r>
            <w:r w:rsidR="002B59DD" w:rsidRPr="00771A1D">
              <w:rPr>
                <w:b/>
                <w:sz w:val="20"/>
                <w:szCs w:val="23"/>
                <w:vertAlign w:val="subscript"/>
              </w:rPr>
              <w:t>2</w:t>
            </w:r>
          </w:p>
        </w:tc>
      </w:tr>
      <w:tr w:rsidR="00F82C6B" w:rsidRPr="005859AC" w:rsidTr="00771A1D">
        <w:trPr>
          <w:trHeight w:val="30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2C6B" w:rsidRPr="00771A1D" w:rsidRDefault="00F82C6B" w:rsidP="005859AC">
            <w:pPr>
              <w:rPr>
                <w:sz w:val="20"/>
                <w:szCs w:val="23"/>
              </w:rPr>
            </w:pPr>
            <w:r w:rsidRPr="00771A1D">
              <w:rPr>
                <w:sz w:val="20"/>
                <w:szCs w:val="23"/>
              </w:rPr>
              <w:t>Borgmesterens afdeling</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7930B9" w:rsidP="007930B9">
            <w:pPr>
              <w:jc w:val="right"/>
              <w:rPr>
                <w:sz w:val="20"/>
                <w:szCs w:val="23"/>
              </w:rPr>
            </w:pPr>
            <w:r w:rsidRPr="00771A1D">
              <w:rPr>
                <w:sz w:val="20"/>
                <w:szCs w:val="23"/>
              </w:rPr>
              <w:t>150</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F82C6B" w:rsidP="00F82C6B">
            <w:pPr>
              <w:spacing w:after="0" w:line="240" w:lineRule="auto"/>
              <w:jc w:val="right"/>
              <w:rPr>
                <w:sz w:val="20"/>
                <w:szCs w:val="23"/>
              </w:rPr>
            </w:pPr>
            <w:r w:rsidRPr="00771A1D">
              <w:rPr>
                <w:sz w:val="20"/>
                <w:szCs w:val="23"/>
              </w:rPr>
              <w:t xml:space="preserve">                                         1 % </w:t>
            </w:r>
          </w:p>
        </w:tc>
      </w:tr>
      <w:tr w:rsidR="00F82C6B" w:rsidRPr="005859AC" w:rsidTr="00771A1D">
        <w:trPr>
          <w:trHeight w:val="2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2C6B" w:rsidRPr="00771A1D" w:rsidRDefault="00F82C6B" w:rsidP="005859AC">
            <w:pPr>
              <w:rPr>
                <w:sz w:val="20"/>
                <w:szCs w:val="23"/>
              </w:rPr>
            </w:pPr>
            <w:r w:rsidRPr="00771A1D">
              <w:rPr>
                <w:sz w:val="20"/>
                <w:szCs w:val="23"/>
              </w:rPr>
              <w:t>Børn og Unge</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F82C6B">
            <w:pPr>
              <w:jc w:val="right"/>
              <w:rPr>
                <w:sz w:val="20"/>
                <w:szCs w:val="23"/>
              </w:rPr>
            </w:pPr>
            <w:r w:rsidRPr="00771A1D">
              <w:rPr>
                <w:sz w:val="20"/>
                <w:szCs w:val="23"/>
              </w:rPr>
              <w:t>85</w:t>
            </w:r>
            <w:r w:rsidR="007930B9" w:rsidRPr="00771A1D">
              <w:rPr>
                <w:sz w:val="20"/>
                <w:szCs w:val="23"/>
              </w:rPr>
              <w:t>0</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F82C6B" w:rsidP="00E35052">
            <w:pPr>
              <w:spacing w:after="0" w:line="240" w:lineRule="auto"/>
              <w:jc w:val="right"/>
              <w:rPr>
                <w:sz w:val="20"/>
                <w:szCs w:val="23"/>
              </w:rPr>
            </w:pPr>
            <w:r w:rsidRPr="00771A1D">
              <w:rPr>
                <w:sz w:val="20"/>
                <w:szCs w:val="23"/>
              </w:rPr>
              <w:t xml:space="preserve">                                         3 % </w:t>
            </w:r>
          </w:p>
        </w:tc>
      </w:tr>
      <w:tr w:rsidR="00F82C6B" w:rsidRPr="005859AC" w:rsidTr="00771A1D">
        <w:trPr>
          <w:trHeight w:val="2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2C6B" w:rsidRPr="00771A1D" w:rsidRDefault="00F82C6B" w:rsidP="005859AC">
            <w:pPr>
              <w:rPr>
                <w:sz w:val="20"/>
                <w:szCs w:val="23"/>
              </w:rPr>
            </w:pPr>
            <w:r w:rsidRPr="00771A1D">
              <w:rPr>
                <w:sz w:val="20"/>
                <w:szCs w:val="23"/>
              </w:rPr>
              <w:t>Kultur og Borgerservice</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F82C6B">
            <w:pPr>
              <w:jc w:val="right"/>
              <w:rPr>
                <w:sz w:val="20"/>
                <w:szCs w:val="23"/>
              </w:rPr>
            </w:pPr>
            <w:r w:rsidRPr="00771A1D">
              <w:rPr>
                <w:sz w:val="20"/>
                <w:szCs w:val="23"/>
              </w:rPr>
              <w:t>1</w:t>
            </w:r>
            <w:r w:rsidR="007930B9" w:rsidRPr="00771A1D">
              <w:rPr>
                <w:sz w:val="20"/>
                <w:szCs w:val="23"/>
              </w:rPr>
              <w:t>50</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F82C6B" w:rsidP="00E35052">
            <w:pPr>
              <w:spacing w:after="0" w:line="240" w:lineRule="auto"/>
              <w:jc w:val="right"/>
              <w:rPr>
                <w:sz w:val="20"/>
                <w:szCs w:val="23"/>
              </w:rPr>
            </w:pPr>
            <w:r w:rsidRPr="00771A1D">
              <w:rPr>
                <w:sz w:val="20"/>
                <w:szCs w:val="23"/>
              </w:rPr>
              <w:t xml:space="preserve">                                          1 %</w:t>
            </w:r>
          </w:p>
        </w:tc>
      </w:tr>
      <w:tr w:rsidR="00F82C6B" w:rsidRPr="005859AC" w:rsidTr="00771A1D">
        <w:trPr>
          <w:trHeight w:val="2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2C6B" w:rsidRPr="00771A1D" w:rsidRDefault="00F82C6B" w:rsidP="005859AC">
            <w:pPr>
              <w:rPr>
                <w:sz w:val="20"/>
                <w:szCs w:val="23"/>
              </w:rPr>
            </w:pPr>
            <w:r w:rsidRPr="00771A1D">
              <w:rPr>
                <w:sz w:val="20"/>
                <w:szCs w:val="23"/>
              </w:rPr>
              <w:t>Social og Beskæftigelse</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7930B9">
            <w:pPr>
              <w:jc w:val="right"/>
              <w:rPr>
                <w:sz w:val="20"/>
                <w:szCs w:val="23"/>
              </w:rPr>
            </w:pPr>
            <w:r w:rsidRPr="00771A1D">
              <w:rPr>
                <w:sz w:val="20"/>
                <w:szCs w:val="23"/>
              </w:rPr>
              <w:t>1.50</w:t>
            </w:r>
            <w:r w:rsidR="00F82C6B" w:rsidRPr="00771A1D">
              <w:rPr>
                <w:sz w:val="20"/>
                <w:szCs w:val="23"/>
              </w:rPr>
              <w:t>0</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F82C6B" w:rsidP="00E35052">
            <w:pPr>
              <w:spacing w:after="0" w:line="240" w:lineRule="auto"/>
              <w:jc w:val="right"/>
              <w:rPr>
                <w:sz w:val="20"/>
                <w:szCs w:val="23"/>
              </w:rPr>
            </w:pPr>
            <w:r w:rsidRPr="00771A1D">
              <w:rPr>
                <w:sz w:val="20"/>
                <w:szCs w:val="23"/>
              </w:rPr>
              <w:t xml:space="preserve">                                         6 % </w:t>
            </w:r>
          </w:p>
        </w:tc>
      </w:tr>
      <w:tr w:rsidR="00F82C6B" w:rsidRPr="005859AC" w:rsidTr="00771A1D">
        <w:trPr>
          <w:trHeight w:val="2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2C6B" w:rsidRPr="00771A1D" w:rsidRDefault="00F82C6B" w:rsidP="005859AC">
            <w:pPr>
              <w:rPr>
                <w:sz w:val="20"/>
                <w:szCs w:val="23"/>
              </w:rPr>
            </w:pPr>
            <w:r w:rsidRPr="00771A1D">
              <w:rPr>
                <w:sz w:val="20"/>
                <w:szCs w:val="23"/>
              </w:rPr>
              <w:t>Sundhed og Omsorg</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F82C6B">
            <w:pPr>
              <w:jc w:val="right"/>
              <w:rPr>
                <w:sz w:val="20"/>
                <w:szCs w:val="23"/>
              </w:rPr>
            </w:pPr>
            <w:r w:rsidRPr="00771A1D">
              <w:rPr>
                <w:sz w:val="20"/>
                <w:szCs w:val="23"/>
              </w:rPr>
              <w:t>1.0</w:t>
            </w:r>
            <w:r w:rsidR="007930B9" w:rsidRPr="00771A1D">
              <w:rPr>
                <w:sz w:val="20"/>
                <w:szCs w:val="23"/>
              </w:rPr>
              <w:t>50</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F82C6B" w:rsidP="00E35052">
            <w:pPr>
              <w:spacing w:after="0" w:line="240" w:lineRule="auto"/>
              <w:jc w:val="right"/>
              <w:rPr>
                <w:sz w:val="20"/>
                <w:szCs w:val="23"/>
              </w:rPr>
            </w:pPr>
            <w:r w:rsidRPr="00771A1D">
              <w:rPr>
                <w:sz w:val="20"/>
                <w:szCs w:val="23"/>
              </w:rPr>
              <w:t xml:space="preserve">                                         4 % </w:t>
            </w:r>
          </w:p>
        </w:tc>
      </w:tr>
      <w:tr w:rsidR="00F82C6B" w:rsidRPr="005859AC" w:rsidTr="00771A1D">
        <w:trPr>
          <w:trHeight w:val="2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2C6B" w:rsidRPr="00771A1D" w:rsidRDefault="00F82C6B" w:rsidP="00E35052">
            <w:pPr>
              <w:rPr>
                <w:sz w:val="20"/>
                <w:szCs w:val="23"/>
              </w:rPr>
            </w:pPr>
            <w:r w:rsidRPr="00771A1D">
              <w:rPr>
                <w:sz w:val="20"/>
                <w:szCs w:val="23"/>
              </w:rPr>
              <w:t>Teknik og Miljø</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F82C6B">
            <w:pPr>
              <w:jc w:val="right"/>
              <w:rPr>
                <w:sz w:val="20"/>
                <w:szCs w:val="23"/>
              </w:rPr>
            </w:pPr>
            <w:r w:rsidRPr="00771A1D">
              <w:rPr>
                <w:sz w:val="20"/>
                <w:szCs w:val="23"/>
              </w:rPr>
              <w:t>2.</w:t>
            </w:r>
            <w:r w:rsidR="007930B9" w:rsidRPr="00771A1D">
              <w:rPr>
                <w:sz w:val="20"/>
                <w:szCs w:val="23"/>
              </w:rPr>
              <w:t>700</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F82C6B" w:rsidP="00E35052">
            <w:pPr>
              <w:spacing w:after="0" w:line="240" w:lineRule="auto"/>
              <w:jc w:val="right"/>
              <w:rPr>
                <w:sz w:val="20"/>
                <w:szCs w:val="23"/>
              </w:rPr>
            </w:pPr>
            <w:r w:rsidRPr="00771A1D">
              <w:rPr>
                <w:sz w:val="20"/>
                <w:szCs w:val="23"/>
              </w:rPr>
              <w:t xml:space="preserve">                                       11 % </w:t>
            </w:r>
          </w:p>
        </w:tc>
      </w:tr>
      <w:tr w:rsidR="00F82C6B" w:rsidRPr="005859AC" w:rsidTr="00771A1D">
        <w:trPr>
          <w:trHeight w:val="2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2C6B" w:rsidRPr="00771A1D" w:rsidRDefault="00F82C6B" w:rsidP="00E35052">
            <w:pPr>
              <w:rPr>
                <w:sz w:val="20"/>
                <w:szCs w:val="23"/>
              </w:rPr>
            </w:pPr>
            <w:r w:rsidRPr="00771A1D">
              <w:rPr>
                <w:sz w:val="20"/>
                <w:szCs w:val="23"/>
              </w:rPr>
              <w:t>Århus Vand AS</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7930B9">
            <w:pPr>
              <w:jc w:val="right"/>
              <w:rPr>
                <w:sz w:val="20"/>
                <w:szCs w:val="23"/>
              </w:rPr>
            </w:pPr>
            <w:r w:rsidRPr="00771A1D">
              <w:rPr>
                <w:sz w:val="20"/>
                <w:szCs w:val="23"/>
              </w:rPr>
              <w:t>200</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F82C6B" w:rsidP="00E35052">
            <w:pPr>
              <w:spacing w:after="0" w:line="240" w:lineRule="auto"/>
              <w:jc w:val="right"/>
              <w:rPr>
                <w:sz w:val="20"/>
                <w:szCs w:val="23"/>
              </w:rPr>
            </w:pPr>
            <w:r w:rsidRPr="00771A1D">
              <w:rPr>
                <w:sz w:val="20"/>
                <w:szCs w:val="23"/>
              </w:rPr>
              <w:t xml:space="preserve">                                         1 % </w:t>
            </w:r>
          </w:p>
        </w:tc>
      </w:tr>
      <w:tr w:rsidR="00F82C6B" w:rsidRPr="005859AC" w:rsidTr="00771A1D">
        <w:trPr>
          <w:trHeight w:val="2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2C6B" w:rsidRPr="00771A1D" w:rsidRDefault="008645A1" w:rsidP="00E35052">
            <w:pPr>
              <w:rPr>
                <w:sz w:val="20"/>
                <w:szCs w:val="23"/>
              </w:rPr>
            </w:pPr>
            <w:r w:rsidRPr="00771A1D">
              <w:rPr>
                <w:sz w:val="20"/>
                <w:szCs w:val="23"/>
              </w:rPr>
              <w:t>Busselskabet Aarhus Sporveje (Midttrafik)</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7930B9" w:rsidP="007930B9">
            <w:pPr>
              <w:jc w:val="right"/>
              <w:rPr>
                <w:sz w:val="20"/>
                <w:szCs w:val="23"/>
              </w:rPr>
            </w:pPr>
            <w:r w:rsidRPr="00771A1D">
              <w:rPr>
                <w:sz w:val="20"/>
                <w:szCs w:val="23"/>
              </w:rPr>
              <w:t>19</w:t>
            </w:r>
            <w:r w:rsidR="00F82C6B" w:rsidRPr="00771A1D">
              <w:rPr>
                <w:sz w:val="20"/>
                <w:szCs w:val="23"/>
              </w:rPr>
              <w:t>.</w:t>
            </w:r>
            <w:r w:rsidRPr="00771A1D">
              <w:rPr>
                <w:sz w:val="20"/>
                <w:szCs w:val="23"/>
              </w:rPr>
              <w:t>000</w:t>
            </w:r>
          </w:p>
        </w:tc>
        <w:tc>
          <w:tcPr>
            <w:tcW w:w="0" w:type="auto"/>
            <w:tcBorders>
              <w:top w:val="nil"/>
              <w:left w:val="nil"/>
              <w:bottom w:val="single" w:sz="4" w:space="0" w:color="auto"/>
              <w:right w:val="single" w:sz="4" w:space="0" w:color="auto"/>
            </w:tcBorders>
            <w:shd w:val="clear" w:color="auto" w:fill="auto"/>
            <w:noWrap/>
            <w:vAlign w:val="bottom"/>
            <w:hideMark/>
          </w:tcPr>
          <w:p w:rsidR="00F82C6B" w:rsidRPr="00771A1D" w:rsidRDefault="00F82C6B" w:rsidP="00E35052">
            <w:pPr>
              <w:spacing w:after="0" w:line="240" w:lineRule="auto"/>
              <w:jc w:val="right"/>
              <w:rPr>
                <w:sz w:val="20"/>
                <w:szCs w:val="23"/>
              </w:rPr>
            </w:pPr>
            <w:r w:rsidRPr="00771A1D">
              <w:rPr>
                <w:sz w:val="20"/>
                <w:szCs w:val="23"/>
              </w:rPr>
              <w:t xml:space="preserve">                                       74 % </w:t>
            </w:r>
          </w:p>
        </w:tc>
      </w:tr>
      <w:tr w:rsidR="002B59DD" w:rsidRPr="005859AC" w:rsidTr="00771A1D">
        <w:trPr>
          <w:trHeight w:val="166"/>
        </w:trPr>
        <w:tc>
          <w:tcPr>
            <w:tcW w:w="0" w:type="auto"/>
            <w:tcBorders>
              <w:top w:val="nil"/>
              <w:left w:val="single" w:sz="4" w:space="0" w:color="auto"/>
              <w:bottom w:val="single" w:sz="4" w:space="0" w:color="auto"/>
              <w:right w:val="single" w:sz="4" w:space="0" w:color="auto"/>
            </w:tcBorders>
            <w:shd w:val="clear" w:color="000000" w:fill="C0C0C0"/>
            <w:noWrap/>
            <w:vAlign w:val="bottom"/>
            <w:hideMark/>
          </w:tcPr>
          <w:p w:rsidR="002B59DD" w:rsidRPr="00771A1D" w:rsidRDefault="002B59DD" w:rsidP="005859AC">
            <w:pPr>
              <w:rPr>
                <w:b/>
                <w:sz w:val="20"/>
                <w:szCs w:val="23"/>
              </w:rPr>
            </w:pPr>
            <w:r w:rsidRPr="00771A1D">
              <w:rPr>
                <w:b/>
                <w:sz w:val="20"/>
                <w:szCs w:val="23"/>
              </w:rPr>
              <w:t>Total</w:t>
            </w:r>
          </w:p>
        </w:tc>
        <w:tc>
          <w:tcPr>
            <w:tcW w:w="0" w:type="auto"/>
            <w:tcBorders>
              <w:top w:val="nil"/>
              <w:left w:val="nil"/>
              <w:bottom w:val="single" w:sz="4" w:space="0" w:color="auto"/>
              <w:right w:val="single" w:sz="4" w:space="0" w:color="auto"/>
            </w:tcBorders>
            <w:shd w:val="clear" w:color="000000" w:fill="C0C0C0"/>
            <w:noWrap/>
            <w:vAlign w:val="bottom"/>
            <w:hideMark/>
          </w:tcPr>
          <w:p w:rsidR="002B59DD" w:rsidRPr="00771A1D" w:rsidRDefault="00197753" w:rsidP="007930B9">
            <w:pPr>
              <w:jc w:val="right"/>
              <w:rPr>
                <w:rFonts w:cs="Arial"/>
                <w:b/>
                <w:color w:val="000000"/>
                <w:sz w:val="20"/>
              </w:rPr>
            </w:pPr>
            <w:r w:rsidRPr="00771A1D">
              <w:rPr>
                <w:rFonts w:cs="Arial"/>
                <w:b/>
                <w:color w:val="000000"/>
                <w:sz w:val="20"/>
              </w:rPr>
              <w:t>2</w:t>
            </w:r>
            <w:r w:rsidR="00E35052" w:rsidRPr="00771A1D">
              <w:rPr>
                <w:rFonts w:cs="Arial"/>
                <w:b/>
                <w:color w:val="000000"/>
                <w:sz w:val="20"/>
              </w:rPr>
              <w:t>5</w:t>
            </w:r>
            <w:r w:rsidRPr="00771A1D">
              <w:rPr>
                <w:rFonts w:cs="Arial"/>
                <w:b/>
                <w:color w:val="000000"/>
                <w:sz w:val="20"/>
              </w:rPr>
              <w:t>.</w:t>
            </w:r>
            <w:r w:rsidR="007930B9" w:rsidRPr="00771A1D">
              <w:rPr>
                <w:rFonts w:cs="Arial"/>
                <w:b/>
                <w:color w:val="000000"/>
                <w:sz w:val="20"/>
              </w:rPr>
              <w:t>600</w:t>
            </w:r>
          </w:p>
        </w:tc>
        <w:tc>
          <w:tcPr>
            <w:tcW w:w="0" w:type="auto"/>
            <w:tcBorders>
              <w:top w:val="nil"/>
              <w:left w:val="nil"/>
              <w:bottom w:val="single" w:sz="4" w:space="0" w:color="auto"/>
              <w:right w:val="single" w:sz="4" w:space="0" w:color="auto"/>
            </w:tcBorders>
            <w:shd w:val="clear" w:color="000000" w:fill="C0C0C0"/>
            <w:noWrap/>
            <w:vAlign w:val="bottom"/>
            <w:hideMark/>
          </w:tcPr>
          <w:p w:rsidR="002B59DD" w:rsidRPr="00771A1D" w:rsidRDefault="00197753">
            <w:pPr>
              <w:jc w:val="right"/>
              <w:rPr>
                <w:rFonts w:cs="Arial"/>
                <w:b/>
                <w:color w:val="000000"/>
                <w:sz w:val="20"/>
              </w:rPr>
            </w:pPr>
            <w:r w:rsidRPr="00771A1D">
              <w:rPr>
                <w:rFonts w:cs="Arial"/>
                <w:b/>
                <w:color w:val="000000"/>
                <w:sz w:val="20"/>
              </w:rPr>
              <w:t>100</w:t>
            </w:r>
            <w:r w:rsidR="00E35052" w:rsidRPr="00771A1D">
              <w:rPr>
                <w:rFonts w:cs="Arial"/>
                <w:b/>
                <w:color w:val="000000"/>
                <w:sz w:val="20"/>
              </w:rPr>
              <w:t xml:space="preserve"> %</w:t>
            </w:r>
          </w:p>
        </w:tc>
      </w:tr>
    </w:tbl>
    <w:p w:rsidR="00BA3E4B" w:rsidRDefault="00584C9B">
      <w:pPr>
        <w:pStyle w:val="Billedtekst"/>
      </w:pPr>
      <w:r>
        <w:t>Tabel 4</w:t>
      </w:r>
      <w:r w:rsidR="006B7FC5">
        <w:t xml:space="preserve">.1 Registreret </w:t>
      </w:r>
      <w:r w:rsidR="00E35052">
        <w:t xml:space="preserve">transport og </w:t>
      </w:r>
      <w:r w:rsidR="006B7FC5">
        <w:t>rejseaktivitet og beregnet CO</w:t>
      </w:r>
      <w:r w:rsidR="006B7FC5">
        <w:rPr>
          <w:vertAlign w:val="subscript"/>
        </w:rPr>
        <w:t xml:space="preserve">2 </w:t>
      </w:r>
      <w:r w:rsidR="006B7FC5">
        <w:t xml:space="preserve">emission </w:t>
      </w:r>
      <w:r w:rsidR="00E35052">
        <w:t>for</w:t>
      </w:r>
      <w:r w:rsidR="006B7FC5">
        <w:t xml:space="preserve"> </w:t>
      </w:r>
      <w:r w:rsidR="006860D0">
        <w:t>Aarhus</w:t>
      </w:r>
      <w:r w:rsidR="006B7FC5">
        <w:t xml:space="preserve"> Kommunes virksomhed i </w:t>
      </w:r>
      <w:r w:rsidR="00056BB5">
        <w:t>20</w:t>
      </w:r>
      <w:r w:rsidR="00E35052">
        <w:t>1</w:t>
      </w:r>
      <w:r w:rsidR="00056BB5">
        <w:t>0</w:t>
      </w:r>
      <w:r w:rsidR="006B7FC5">
        <w:t>, fordelt på Magistrat</w:t>
      </w:r>
      <w:r w:rsidR="002F181A">
        <w:t>safdelinger</w:t>
      </w:r>
      <w:r w:rsidR="006B7FC5">
        <w:t xml:space="preserve"> m.v. Omfatt</w:t>
      </w:r>
      <w:r w:rsidR="00E35052">
        <w:t>er også brændstof til non-road transport</w:t>
      </w:r>
      <w:r w:rsidR="006B7FC5">
        <w:t>.</w:t>
      </w:r>
    </w:p>
    <w:p w:rsidR="0049215B" w:rsidRDefault="0049215B" w:rsidP="0049215B">
      <w:pPr>
        <w:pStyle w:val="Brdtekst"/>
      </w:pPr>
      <w:r>
        <w:rPr>
          <w:noProof/>
          <w:lang w:eastAsia="da-DK"/>
        </w:rPr>
        <w:drawing>
          <wp:anchor distT="0" distB="0" distL="114300" distR="114300" simplePos="0" relativeHeight="251730944" behindDoc="0" locked="0" layoutInCell="1" allowOverlap="1">
            <wp:simplePos x="0" y="0"/>
            <wp:positionH relativeFrom="column">
              <wp:posOffset>-19685</wp:posOffset>
            </wp:positionH>
            <wp:positionV relativeFrom="paragraph">
              <wp:posOffset>548640</wp:posOffset>
            </wp:positionV>
            <wp:extent cx="4474845" cy="2164715"/>
            <wp:effectExtent l="19050" t="0" r="20955" b="6985"/>
            <wp:wrapTopAndBottom/>
            <wp:docPr id="11"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3A3735">
        <w:t>CO</w:t>
      </w:r>
      <w:r w:rsidR="003A3735">
        <w:rPr>
          <w:vertAlign w:val="subscript"/>
        </w:rPr>
        <w:t>2</w:t>
      </w:r>
      <w:r w:rsidR="00E45560">
        <w:rPr>
          <w:vertAlign w:val="subscript"/>
        </w:rPr>
        <w:t>-</w:t>
      </w:r>
      <w:r w:rsidR="00E45560">
        <w:t>ud</w:t>
      </w:r>
      <w:r w:rsidR="003A3735">
        <w:t xml:space="preserve">ledningen </w:t>
      </w:r>
      <w:r w:rsidR="00324669">
        <w:t>for transpor</w:t>
      </w:r>
      <w:r w:rsidR="00201D7A">
        <w:t>t var i 2010 på 25.6</w:t>
      </w:r>
      <w:r w:rsidR="00324669">
        <w:t>00 ton, hvilket er svagt fald i forhold til 2009. I figu</w:t>
      </w:r>
      <w:r w:rsidR="00EA7996">
        <w:t xml:space="preserve">r 4.1 ses </w:t>
      </w:r>
      <w:r w:rsidR="008645A1">
        <w:t>udviklingen</w:t>
      </w:r>
      <w:r w:rsidR="00EA7996">
        <w:t xml:space="preserve"> for </w:t>
      </w:r>
      <w:r w:rsidR="00324669">
        <w:t>CO</w:t>
      </w:r>
      <w:r w:rsidR="00324669">
        <w:rPr>
          <w:vertAlign w:val="subscript"/>
        </w:rPr>
        <w:t>2-</w:t>
      </w:r>
      <w:r w:rsidR="00324669">
        <w:t xml:space="preserve">udledningen relateret til transport for </w:t>
      </w:r>
      <w:r w:rsidR="00EA7996">
        <w:t>2008, 2009 og 2010</w:t>
      </w:r>
      <w:r w:rsidR="003A3735">
        <w:t xml:space="preserve">. </w:t>
      </w:r>
    </w:p>
    <w:p w:rsidR="00EA7996" w:rsidRDefault="00EA7996" w:rsidP="00EA7996">
      <w:pPr>
        <w:pStyle w:val="Billedtekst"/>
      </w:pPr>
      <w:r>
        <w:t>Figur 4.1: CO2-udledning for transport 2008-2010.</w:t>
      </w:r>
    </w:p>
    <w:p w:rsidR="00BA3E4B" w:rsidRDefault="006B7FC5" w:rsidP="00EA7996">
      <w:pPr>
        <w:pStyle w:val="Overskrift1"/>
        <w:numPr>
          <w:ilvl w:val="0"/>
          <w:numId w:val="12"/>
        </w:numPr>
      </w:pPr>
      <w:bookmarkStart w:id="14" w:name="_Toc226286747"/>
      <w:bookmarkStart w:id="15" w:name="_Toc238867691"/>
      <w:bookmarkStart w:id="16" w:name="_Toc300217013"/>
      <w:r>
        <w:lastRenderedPageBreak/>
        <w:t>Procesemissioner</w:t>
      </w:r>
      <w:bookmarkEnd w:id="14"/>
      <w:bookmarkEnd w:id="15"/>
      <w:bookmarkEnd w:id="16"/>
    </w:p>
    <w:p w:rsidR="00143C93" w:rsidRDefault="00143C93" w:rsidP="00143C93">
      <w:pPr>
        <w:pStyle w:val="Brdtekst"/>
      </w:pPr>
      <w:r>
        <w:t>Procesemissioner omfatter de CO</w:t>
      </w:r>
      <w:r>
        <w:rPr>
          <w:vertAlign w:val="subscript"/>
        </w:rPr>
        <w:t>2</w:t>
      </w:r>
      <w:r>
        <w:t xml:space="preserve"> emissioner der fremkommer ved industrielle processer og som ikke skyldes et brændsels/energiforbrug.  I Aarhus Kommune er der en relevant virksomhed med procesemission, nemlig Affaldscenter Aarhus under AffaldVarme Aarhus, som bruger kalk (CaCO</w:t>
      </w:r>
      <w:r>
        <w:rPr>
          <w:vertAlign w:val="subscript"/>
        </w:rPr>
        <w:t>3</w:t>
      </w:r>
      <w:r>
        <w:t>) i røggasrensningen, til at afspalte CO</w:t>
      </w:r>
      <w:r>
        <w:rPr>
          <w:vertAlign w:val="subscript"/>
        </w:rPr>
        <w:t>2</w:t>
      </w:r>
      <w:r w:rsidR="00306663">
        <w:t xml:space="preserve">. I tabel </w:t>
      </w:r>
      <w:r w:rsidR="002579DF">
        <w:t>6</w:t>
      </w:r>
      <w:r w:rsidR="00306663">
        <w:t>.1. ses udledningen fra kalkforbrug.</w:t>
      </w:r>
    </w:p>
    <w:tbl>
      <w:tblPr>
        <w:tblW w:w="7098" w:type="dxa"/>
        <w:tblInd w:w="60" w:type="dxa"/>
        <w:tblCellMar>
          <w:left w:w="70" w:type="dxa"/>
          <w:right w:w="70" w:type="dxa"/>
        </w:tblCellMar>
        <w:tblLook w:val="0000"/>
      </w:tblPr>
      <w:tblGrid>
        <w:gridCol w:w="2420"/>
        <w:gridCol w:w="2380"/>
        <w:gridCol w:w="2298"/>
      </w:tblGrid>
      <w:tr w:rsidR="00BA3E4B">
        <w:trPr>
          <w:trHeight w:val="510"/>
        </w:trPr>
        <w:tc>
          <w:tcPr>
            <w:tcW w:w="2420" w:type="dxa"/>
            <w:tcBorders>
              <w:top w:val="single" w:sz="8" w:space="0" w:color="auto"/>
              <w:left w:val="single" w:sz="8" w:space="0" w:color="auto"/>
              <w:bottom w:val="single" w:sz="4" w:space="0" w:color="auto"/>
              <w:right w:val="single" w:sz="4" w:space="0" w:color="auto"/>
            </w:tcBorders>
            <w:shd w:val="clear" w:color="auto" w:fill="auto"/>
          </w:tcPr>
          <w:p w:rsidR="00BA3E4B" w:rsidRPr="004C0BD9" w:rsidRDefault="006B7FC5" w:rsidP="00FE0083">
            <w:pPr>
              <w:spacing w:line="240" w:lineRule="auto"/>
              <w:rPr>
                <w:rFonts w:ascii="Arial" w:hAnsi="Arial" w:cs="Arial"/>
                <w:color w:val="000000" w:themeColor="text1"/>
                <w:sz w:val="18"/>
                <w:szCs w:val="18"/>
              </w:rPr>
            </w:pPr>
            <w:r w:rsidRPr="004C0BD9">
              <w:rPr>
                <w:rFonts w:ascii="Arial" w:hAnsi="Arial" w:cs="Arial"/>
                <w:color w:val="000000" w:themeColor="text1"/>
                <w:sz w:val="18"/>
                <w:szCs w:val="18"/>
              </w:rPr>
              <w:t xml:space="preserve">Kalkforbrug </w:t>
            </w:r>
            <w:r w:rsidR="00056BB5">
              <w:rPr>
                <w:rFonts w:ascii="Arial" w:hAnsi="Arial" w:cs="Arial"/>
                <w:color w:val="000000" w:themeColor="text1"/>
                <w:sz w:val="18"/>
                <w:szCs w:val="18"/>
              </w:rPr>
              <w:t>20</w:t>
            </w:r>
            <w:r w:rsidR="00FE0083">
              <w:rPr>
                <w:rFonts w:ascii="Arial" w:hAnsi="Arial" w:cs="Arial"/>
                <w:color w:val="000000" w:themeColor="text1"/>
                <w:sz w:val="18"/>
                <w:szCs w:val="18"/>
              </w:rPr>
              <w:t>1</w:t>
            </w:r>
            <w:r w:rsidR="00056BB5">
              <w:rPr>
                <w:rFonts w:ascii="Arial" w:hAnsi="Arial" w:cs="Arial"/>
                <w:color w:val="000000" w:themeColor="text1"/>
                <w:sz w:val="18"/>
                <w:szCs w:val="18"/>
              </w:rPr>
              <w:t>0</w:t>
            </w:r>
            <w:r w:rsidR="004C0BD9">
              <w:rPr>
                <w:rFonts w:ascii="Arial" w:hAnsi="Arial" w:cs="Arial"/>
                <w:color w:val="000000" w:themeColor="text1"/>
                <w:sz w:val="18"/>
                <w:szCs w:val="18"/>
              </w:rPr>
              <w:t>, ton</w:t>
            </w:r>
            <w:r w:rsidRPr="004C0BD9">
              <w:rPr>
                <w:rFonts w:ascii="Arial" w:hAnsi="Arial" w:cs="Arial"/>
                <w:color w:val="000000" w:themeColor="text1"/>
                <w:sz w:val="18"/>
                <w:szCs w:val="18"/>
              </w:rPr>
              <w:t>/år</w:t>
            </w:r>
          </w:p>
        </w:tc>
        <w:tc>
          <w:tcPr>
            <w:tcW w:w="2380" w:type="dxa"/>
            <w:tcBorders>
              <w:top w:val="single" w:sz="8" w:space="0" w:color="auto"/>
              <w:left w:val="nil"/>
              <w:bottom w:val="single" w:sz="4" w:space="0" w:color="auto"/>
              <w:right w:val="single" w:sz="4" w:space="0" w:color="auto"/>
            </w:tcBorders>
            <w:shd w:val="clear" w:color="auto" w:fill="auto"/>
          </w:tcPr>
          <w:p w:rsidR="00BA3E4B" w:rsidRPr="004C0BD9" w:rsidRDefault="004C0BD9">
            <w:pPr>
              <w:spacing w:line="240" w:lineRule="auto"/>
              <w:rPr>
                <w:rFonts w:ascii="Arial" w:hAnsi="Arial" w:cs="Arial"/>
                <w:color w:val="000000" w:themeColor="text1"/>
                <w:sz w:val="18"/>
                <w:szCs w:val="18"/>
                <w:lang w:val="en-GB"/>
              </w:rPr>
            </w:pPr>
            <w:r>
              <w:rPr>
                <w:rFonts w:ascii="Arial" w:hAnsi="Arial" w:cs="Arial"/>
                <w:color w:val="000000" w:themeColor="text1"/>
                <w:sz w:val="18"/>
                <w:szCs w:val="18"/>
                <w:lang w:val="en-GB"/>
              </w:rPr>
              <w:t xml:space="preserve">Emissionsfaktor, ton </w:t>
            </w:r>
            <w:r w:rsidR="006B7FC5" w:rsidRPr="004C0BD9">
              <w:rPr>
                <w:rFonts w:ascii="Arial" w:hAnsi="Arial" w:cs="Arial"/>
                <w:color w:val="000000" w:themeColor="text1"/>
                <w:sz w:val="18"/>
                <w:szCs w:val="18"/>
                <w:lang w:val="en-GB"/>
              </w:rPr>
              <w:t>CO</w:t>
            </w:r>
            <w:r w:rsidR="006B7FC5" w:rsidRPr="004C0BD9">
              <w:rPr>
                <w:rFonts w:ascii="Arial" w:hAnsi="Arial" w:cs="Arial"/>
                <w:color w:val="000000" w:themeColor="text1"/>
                <w:sz w:val="18"/>
                <w:szCs w:val="18"/>
                <w:vertAlign w:val="subscript"/>
                <w:lang w:val="en-GB"/>
              </w:rPr>
              <w:t>2</w:t>
            </w:r>
            <w:r w:rsidR="006B7FC5" w:rsidRPr="004C0BD9">
              <w:rPr>
                <w:rFonts w:ascii="Arial" w:hAnsi="Arial" w:cs="Arial"/>
                <w:color w:val="000000" w:themeColor="text1"/>
                <w:sz w:val="18"/>
                <w:szCs w:val="18"/>
                <w:lang w:val="en-GB"/>
              </w:rPr>
              <w:t>/tons kalk</w:t>
            </w:r>
          </w:p>
        </w:tc>
        <w:tc>
          <w:tcPr>
            <w:tcW w:w="2298" w:type="dxa"/>
            <w:tcBorders>
              <w:top w:val="single" w:sz="8" w:space="0" w:color="auto"/>
              <w:left w:val="nil"/>
              <w:bottom w:val="single" w:sz="4" w:space="0" w:color="auto"/>
              <w:right w:val="single" w:sz="8" w:space="0" w:color="auto"/>
            </w:tcBorders>
            <w:shd w:val="clear" w:color="auto" w:fill="auto"/>
          </w:tcPr>
          <w:p w:rsidR="00BA3E4B" w:rsidRPr="004C0BD9" w:rsidRDefault="004C0BD9">
            <w:pPr>
              <w:spacing w:line="240" w:lineRule="auto"/>
              <w:rPr>
                <w:rFonts w:ascii="Arial" w:hAnsi="Arial" w:cs="Arial"/>
                <w:color w:val="000000" w:themeColor="text1"/>
                <w:sz w:val="18"/>
                <w:szCs w:val="18"/>
              </w:rPr>
            </w:pPr>
            <w:r>
              <w:rPr>
                <w:rFonts w:ascii="Arial" w:hAnsi="Arial" w:cs="Arial"/>
                <w:color w:val="000000" w:themeColor="text1"/>
                <w:sz w:val="18"/>
                <w:szCs w:val="18"/>
              </w:rPr>
              <w:t>Emission, Ton</w:t>
            </w:r>
            <w:r w:rsidR="006B7FC5" w:rsidRPr="004C0BD9">
              <w:rPr>
                <w:rFonts w:ascii="Arial" w:hAnsi="Arial" w:cs="Arial"/>
                <w:color w:val="000000" w:themeColor="text1"/>
                <w:sz w:val="18"/>
                <w:szCs w:val="18"/>
              </w:rPr>
              <w:t xml:space="preserve"> CO</w:t>
            </w:r>
            <w:r w:rsidR="006B7FC5" w:rsidRPr="004C0BD9">
              <w:rPr>
                <w:rFonts w:ascii="Arial" w:hAnsi="Arial" w:cs="Arial"/>
                <w:color w:val="000000" w:themeColor="text1"/>
                <w:sz w:val="18"/>
                <w:szCs w:val="18"/>
                <w:vertAlign w:val="subscript"/>
              </w:rPr>
              <w:t>2</w:t>
            </w:r>
            <w:r w:rsidR="006B7FC5" w:rsidRPr="004C0BD9">
              <w:rPr>
                <w:rFonts w:ascii="Arial" w:hAnsi="Arial" w:cs="Arial"/>
                <w:color w:val="000000" w:themeColor="text1"/>
                <w:sz w:val="18"/>
                <w:szCs w:val="18"/>
              </w:rPr>
              <w:t>/år</w:t>
            </w:r>
          </w:p>
        </w:tc>
      </w:tr>
      <w:tr w:rsidR="00BA3E4B" w:rsidTr="005B1DDD">
        <w:trPr>
          <w:trHeight w:val="270"/>
        </w:trPr>
        <w:tc>
          <w:tcPr>
            <w:tcW w:w="2420" w:type="dxa"/>
            <w:tcBorders>
              <w:top w:val="nil"/>
              <w:left w:val="single" w:sz="8" w:space="0" w:color="auto"/>
              <w:bottom w:val="single" w:sz="8" w:space="0" w:color="auto"/>
              <w:right w:val="single" w:sz="4" w:space="0" w:color="auto"/>
            </w:tcBorders>
            <w:shd w:val="clear" w:color="auto" w:fill="auto"/>
            <w:noWrap/>
            <w:vAlign w:val="center"/>
          </w:tcPr>
          <w:p w:rsidR="00BA3E4B" w:rsidRPr="004C0BD9" w:rsidRDefault="00FE0083" w:rsidP="005B1DDD">
            <w:pPr>
              <w:spacing w:line="240" w:lineRule="auto"/>
              <w:jc w:val="center"/>
              <w:rPr>
                <w:rFonts w:ascii="Arial" w:hAnsi="Arial" w:cs="Arial"/>
                <w:color w:val="000000" w:themeColor="text1"/>
                <w:sz w:val="20"/>
              </w:rPr>
            </w:pPr>
            <w:r>
              <w:rPr>
                <w:rFonts w:ascii="Arial" w:hAnsi="Arial" w:cs="Arial"/>
                <w:color w:val="000000" w:themeColor="text1"/>
                <w:sz w:val="20"/>
              </w:rPr>
              <w:t>1.909</w:t>
            </w:r>
          </w:p>
        </w:tc>
        <w:tc>
          <w:tcPr>
            <w:tcW w:w="2380" w:type="dxa"/>
            <w:tcBorders>
              <w:top w:val="nil"/>
              <w:left w:val="nil"/>
              <w:bottom w:val="single" w:sz="8" w:space="0" w:color="auto"/>
              <w:right w:val="single" w:sz="4" w:space="0" w:color="auto"/>
            </w:tcBorders>
            <w:shd w:val="clear" w:color="auto" w:fill="auto"/>
            <w:vAlign w:val="center"/>
          </w:tcPr>
          <w:p w:rsidR="00BA3E4B" w:rsidRPr="004C0BD9" w:rsidRDefault="006B7FC5" w:rsidP="005B1DDD">
            <w:pPr>
              <w:spacing w:line="240" w:lineRule="auto"/>
              <w:jc w:val="center"/>
              <w:rPr>
                <w:rFonts w:ascii="Arial" w:hAnsi="Arial" w:cs="Arial"/>
                <w:color w:val="000000" w:themeColor="text1"/>
                <w:sz w:val="18"/>
                <w:szCs w:val="18"/>
              </w:rPr>
            </w:pPr>
            <w:r w:rsidRPr="004C0BD9">
              <w:rPr>
                <w:rFonts w:ascii="Arial" w:hAnsi="Arial" w:cs="Arial"/>
                <w:color w:val="000000" w:themeColor="text1"/>
                <w:sz w:val="18"/>
                <w:szCs w:val="18"/>
              </w:rPr>
              <w:t>0,44</w:t>
            </w:r>
          </w:p>
        </w:tc>
        <w:tc>
          <w:tcPr>
            <w:tcW w:w="2298" w:type="dxa"/>
            <w:tcBorders>
              <w:top w:val="nil"/>
              <w:left w:val="nil"/>
              <w:bottom w:val="single" w:sz="8" w:space="0" w:color="auto"/>
              <w:right w:val="single" w:sz="8" w:space="0" w:color="auto"/>
            </w:tcBorders>
            <w:shd w:val="clear" w:color="auto" w:fill="auto"/>
            <w:vAlign w:val="center"/>
          </w:tcPr>
          <w:p w:rsidR="00BA3E4B" w:rsidRPr="004C0BD9" w:rsidRDefault="00FE0083" w:rsidP="005B1DDD">
            <w:pPr>
              <w:spacing w:line="240" w:lineRule="auto"/>
              <w:jc w:val="center"/>
              <w:rPr>
                <w:rFonts w:ascii="Arial" w:hAnsi="Arial" w:cs="Arial"/>
                <w:color w:val="000000" w:themeColor="text1"/>
                <w:sz w:val="18"/>
                <w:szCs w:val="18"/>
              </w:rPr>
            </w:pPr>
            <w:r>
              <w:rPr>
                <w:rFonts w:ascii="Arial" w:hAnsi="Arial" w:cs="Arial"/>
                <w:color w:val="000000" w:themeColor="text1"/>
                <w:sz w:val="18"/>
                <w:szCs w:val="18"/>
              </w:rPr>
              <w:t>840</w:t>
            </w:r>
          </w:p>
        </w:tc>
      </w:tr>
    </w:tbl>
    <w:p w:rsidR="005B1DDD" w:rsidRDefault="005B1DDD" w:rsidP="005B1DDD">
      <w:pPr>
        <w:pStyle w:val="Billedtekst"/>
      </w:pPr>
      <w:r>
        <w:t xml:space="preserve">Tabel </w:t>
      </w:r>
      <w:r w:rsidR="002579DF">
        <w:t>6</w:t>
      </w:r>
      <w:r>
        <w:t>.1 CO</w:t>
      </w:r>
      <w:r>
        <w:rPr>
          <w:vertAlign w:val="subscript"/>
        </w:rPr>
        <w:t>2</w:t>
      </w:r>
      <w:r>
        <w:t xml:space="preserve"> emission i </w:t>
      </w:r>
      <w:r w:rsidR="00056BB5">
        <w:t>20</w:t>
      </w:r>
      <w:r w:rsidR="00FE0083">
        <w:t>1</w:t>
      </w:r>
      <w:r w:rsidR="00056BB5">
        <w:t>0</w:t>
      </w:r>
      <w:r>
        <w:t xml:space="preserve"> fra brug af kalk i røggasrensningen på Affaldscenter </w:t>
      </w:r>
      <w:r w:rsidR="006860D0">
        <w:t>Aarhus</w:t>
      </w:r>
    </w:p>
    <w:p w:rsidR="00E35052" w:rsidRDefault="00FE0083" w:rsidP="00E35052">
      <w:bookmarkStart w:id="17" w:name="_Toc226283856"/>
      <w:bookmarkStart w:id="18" w:name="_Toc226286757"/>
      <w:bookmarkStart w:id="19" w:name="_Toc226286758"/>
      <w:bookmarkStart w:id="20" w:name="_Toc238867693"/>
      <w:bookmarkEnd w:id="17"/>
      <w:bookmarkEnd w:id="18"/>
      <w:r>
        <w:t>Forbruget af kalk og dermed CO</w:t>
      </w:r>
      <w:r w:rsidRPr="00D373C9">
        <w:rPr>
          <w:vertAlign w:val="subscript"/>
        </w:rPr>
        <w:t>2</w:t>
      </w:r>
      <w:r w:rsidR="00D373C9">
        <w:t>-udledningen</w:t>
      </w:r>
      <w:r>
        <w:t xml:space="preserve"> forbundet her til er ret stabil fra år til år</w:t>
      </w:r>
      <w:r w:rsidR="002579DF">
        <w:t>, og der er ikke sket nogen væsentlig udvikling her</w:t>
      </w:r>
      <w:r>
        <w:t>.</w:t>
      </w:r>
    </w:p>
    <w:p w:rsidR="00BA3E4B" w:rsidRDefault="006B7FC5" w:rsidP="00EA7996">
      <w:pPr>
        <w:pStyle w:val="Overskrift1"/>
        <w:numPr>
          <w:ilvl w:val="0"/>
          <w:numId w:val="12"/>
        </w:numPr>
      </w:pPr>
      <w:bookmarkStart w:id="21" w:name="_Toc232156266"/>
      <w:bookmarkStart w:id="22" w:name="_Toc238867695"/>
      <w:bookmarkStart w:id="23" w:name="_Toc300217014"/>
      <w:bookmarkStart w:id="24" w:name="_Toc226286760"/>
      <w:bookmarkEnd w:id="19"/>
      <w:bookmarkEnd w:id="20"/>
      <w:r>
        <w:t>Landbrug</w:t>
      </w:r>
      <w:bookmarkEnd w:id="21"/>
      <w:bookmarkEnd w:id="22"/>
      <w:bookmarkEnd w:id="23"/>
    </w:p>
    <w:p w:rsidR="00143C93" w:rsidRDefault="00143C93" w:rsidP="00143C93">
      <w:pPr>
        <w:pStyle w:val="Brdtekst"/>
      </w:pPr>
      <w:r>
        <w:t xml:space="preserve">Aarhus Kommune ejer en del landbrugsjord, som er forpagtet bort. Kommunen står dermed ikke for driften af jorden. Driften af, og dermed også udledningen fra bortforpagtet landbrugsjord falder derfor udenfor Aarhus Kommune som virksomhed. </w:t>
      </w:r>
    </w:p>
    <w:p w:rsidR="00BA3E4B" w:rsidRDefault="006B7FC5" w:rsidP="00EA7996">
      <w:pPr>
        <w:pStyle w:val="Overskrift1"/>
        <w:numPr>
          <w:ilvl w:val="0"/>
          <w:numId w:val="12"/>
        </w:numPr>
      </w:pPr>
      <w:bookmarkStart w:id="25" w:name="_Toc226286761"/>
      <w:bookmarkStart w:id="26" w:name="_Toc238867696"/>
      <w:bookmarkStart w:id="27" w:name="_Toc300217015"/>
      <w:bookmarkEnd w:id="24"/>
      <w:r>
        <w:t>Arealanvendelse</w:t>
      </w:r>
      <w:bookmarkEnd w:id="25"/>
      <w:bookmarkEnd w:id="26"/>
      <w:bookmarkEnd w:id="27"/>
    </w:p>
    <w:p w:rsidR="00BA3E4B" w:rsidRDefault="006B7FC5">
      <w:pPr>
        <w:pStyle w:val="Brdtekst"/>
      </w:pPr>
      <w:r>
        <w:t>Det samlede bidrag fra kommunale arealanvendelse omfatter etablering af vådområder, brug af kunstgødning på kommunale arealer og kommunal skovrejsn</w:t>
      </w:r>
      <w:r w:rsidR="002579DF">
        <w:t>ing. Bidraget fremgår at tabel 8</w:t>
      </w:r>
      <w:r>
        <w:t>.1.</w:t>
      </w:r>
    </w:p>
    <w:tbl>
      <w:tblPr>
        <w:tblW w:w="9640" w:type="dxa"/>
        <w:tblInd w:w="70" w:type="dxa"/>
        <w:tblCellMar>
          <w:left w:w="70" w:type="dxa"/>
          <w:right w:w="70" w:type="dxa"/>
        </w:tblCellMar>
        <w:tblLook w:val="0000"/>
      </w:tblPr>
      <w:tblGrid>
        <w:gridCol w:w="2320"/>
        <w:gridCol w:w="2200"/>
        <w:gridCol w:w="2200"/>
        <w:gridCol w:w="1580"/>
        <w:gridCol w:w="1340"/>
      </w:tblGrid>
      <w:tr w:rsidR="00BA3E4B">
        <w:trPr>
          <w:trHeight w:val="315"/>
        </w:trPr>
        <w:tc>
          <w:tcPr>
            <w:tcW w:w="2320" w:type="dxa"/>
            <w:tcBorders>
              <w:top w:val="single" w:sz="12" w:space="0" w:color="auto"/>
              <w:left w:val="single" w:sz="12" w:space="0" w:color="auto"/>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Område</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Magistrat</w:t>
            </w:r>
            <w:r w:rsidR="00FB7348">
              <w:rPr>
                <w:rFonts w:ascii="Arial" w:hAnsi="Arial" w:cs="Arial"/>
                <w:b/>
                <w:bCs/>
                <w:color w:val="000000" w:themeColor="text1"/>
                <w:sz w:val="20"/>
              </w:rPr>
              <w:t>safdeling</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Forvaltning</w:t>
            </w:r>
          </w:p>
        </w:tc>
        <w:tc>
          <w:tcPr>
            <w:tcW w:w="158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Forbrug</w:t>
            </w:r>
          </w:p>
        </w:tc>
        <w:tc>
          <w:tcPr>
            <w:tcW w:w="1340" w:type="dxa"/>
            <w:tcBorders>
              <w:top w:val="single" w:sz="12" w:space="0" w:color="auto"/>
              <w:left w:val="nil"/>
              <w:bottom w:val="single" w:sz="8" w:space="0" w:color="auto"/>
              <w:right w:val="single" w:sz="12"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CO</w:t>
            </w:r>
            <w:r w:rsidRPr="004C0BD9">
              <w:rPr>
                <w:rFonts w:ascii="Arial" w:hAnsi="Arial" w:cs="Arial"/>
                <w:b/>
                <w:bCs/>
                <w:color w:val="000000" w:themeColor="text1"/>
                <w:sz w:val="20"/>
                <w:vertAlign w:val="subscript"/>
              </w:rPr>
              <w:t>2</w:t>
            </w:r>
            <w:r w:rsidRPr="004C0BD9">
              <w:rPr>
                <w:rFonts w:ascii="Arial" w:hAnsi="Arial" w:cs="Arial"/>
                <w:b/>
                <w:bCs/>
                <w:color w:val="000000" w:themeColor="text1"/>
                <w:sz w:val="20"/>
              </w:rPr>
              <w:t xml:space="preserve"> (ton)</w:t>
            </w:r>
          </w:p>
        </w:tc>
      </w:tr>
      <w:tr w:rsidR="00BA3E4B">
        <w:trPr>
          <w:trHeight w:val="285"/>
        </w:trPr>
        <w:tc>
          <w:tcPr>
            <w:tcW w:w="2320" w:type="dxa"/>
            <w:tcBorders>
              <w:top w:val="single" w:sz="12" w:space="0" w:color="auto"/>
              <w:left w:val="single" w:sz="12" w:space="0" w:color="auto"/>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Vådområder</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Teknik og Miljø</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Natur og Miljø</w:t>
            </w:r>
          </w:p>
        </w:tc>
        <w:tc>
          <w:tcPr>
            <w:tcW w:w="158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 </w:t>
            </w:r>
          </w:p>
        </w:tc>
        <w:tc>
          <w:tcPr>
            <w:tcW w:w="1340" w:type="dxa"/>
            <w:tcBorders>
              <w:top w:val="single" w:sz="12" w:space="0" w:color="auto"/>
              <w:left w:val="nil"/>
              <w:bottom w:val="single" w:sz="8" w:space="0" w:color="auto"/>
              <w:right w:val="single" w:sz="12" w:space="0" w:color="auto"/>
            </w:tcBorders>
            <w:shd w:val="clear" w:color="auto" w:fill="auto"/>
            <w:noWrap/>
            <w:vAlign w:val="bottom"/>
          </w:tcPr>
          <w:p w:rsidR="00BA3E4B" w:rsidRPr="004C0BD9" w:rsidRDefault="006B7FC5">
            <w:pPr>
              <w:spacing w:line="240" w:lineRule="auto"/>
              <w:ind w:left="214"/>
              <w:jc w:val="right"/>
              <w:rPr>
                <w:rFonts w:ascii="Arial" w:hAnsi="Arial" w:cs="Arial"/>
                <w:color w:val="000000" w:themeColor="text1"/>
                <w:sz w:val="20"/>
              </w:rPr>
            </w:pPr>
            <w:r w:rsidRPr="004C0BD9">
              <w:rPr>
                <w:rFonts w:ascii="Arial" w:hAnsi="Arial" w:cs="Arial"/>
                <w:color w:val="000000" w:themeColor="text1"/>
                <w:sz w:val="20"/>
              </w:rPr>
              <w:t>-2.55</w:t>
            </w:r>
            <w:r w:rsidR="00FB7348">
              <w:rPr>
                <w:rFonts w:ascii="Arial" w:hAnsi="Arial" w:cs="Arial"/>
                <w:color w:val="000000" w:themeColor="text1"/>
                <w:sz w:val="20"/>
              </w:rPr>
              <w:t>2</w:t>
            </w:r>
          </w:p>
        </w:tc>
      </w:tr>
      <w:tr w:rsidR="00973758">
        <w:trPr>
          <w:trHeight w:val="285"/>
        </w:trPr>
        <w:tc>
          <w:tcPr>
            <w:tcW w:w="2320" w:type="dxa"/>
            <w:tcBorders>
              <w:top w:val="single" w:sz="12" w:space="0" w:color="auto"/>
              <w:left w:val="single" w:sz="12" w:space="0" w:color="auto"/>
              <w:bottom w:val="single" w:sz="8" w:space="0" w:color="auto"/>
              <w:right w:val="single" w:sz="8" w:space="0" w:color="auto"/>
            </w:tcBorders>
            <w:shd w:val="clear" w:color="auto" w:fill="auto"/>
            <w:noWrap/>
            <w:vAlign w:val="bottom"/>
          </w:tcPr>
          <w:p w:rsidR="00973758" w:rsidRPr="004C0BD9" w:rsidRDefault="00973758">
            <w:pPr>
              <w:spacing w:line="240" w:lineRule="auto"/>
              <w:ind w:left="214"/>
              <w:rPr>
                <w:rFonts w:ascii="Arial" w:hAnsi="Arial" w:cs="Arial"/>
                <w:color w:val="000000" w:themeColor="text1"/>
                <w:sz w:val="20"/>
              </w:rPr>
            </w:pPr>
            <w:r w:rsidRPr="004C0BD9">
              <w:rPr>
                <w:rFonts w:ascii="Arial" w:hAnsi="Arial" w:cs="Arial"/>
                <w:color w:val="000000" w:themeColor="text1"/>
                <w:sz w:val="20"/>
              </w:rPr>
              <w:t>Kunstgødning (NPK)</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973758" w:rsidRPr="004C0BD9" w:rsidRDefault="00973758">
            <w:pPr>
              <w:spacing w:line="240" w:lineRule="auto"/>
              <w:ind w:left="214"/>
              <w:rPr>
                <w:rFonts w:ascii="Arial" w:hAnsi="Arial" w:cs="Arial"/>
                <w:color w:val="000000" w:themeColor="text1"/>
                <w:sz w:val="20"/>
              </w:rPr>
            </w:pPr>
            <w:r w:rsidRPr="004C0BD9">
              <w:rPr>
                <w:rFonts w:ascii="Arial" w:hAnsi="Arial" w:cs="Arial"/>
                <w:color w:val="000000" w:themeColor="text1"/>
                <w:sz w:val="20"/>
              </w:rPr>
              <w:t>Teknik og Miljø</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973758" w:rsidRPr="004C0BD9" w:rsidRDefault="00973758" w:rsidP="00697E43">
            <w:pPr>
              <w:spacing w:line="240" w:lineRule="auto"/>
              <w:ind w:left="214"/>
              <w:rPr>
                <w:rFonts w:ascii="Arial" w:hAnsi="Arial" w:cs="Arial"/>
                <w:color w:val="000000" w:themeColor="text1"/>
                <w:sz w:val="20"/>
              </w:rPr>
            </w:pPr>
            <w:r w:rsidRPr="004C0BD9">
              <w:rPr>
                <w:rFonts w:ascii="Arial" w:hAnsi="Arial" w:cs="Arial"/>
                <w:color w:val="000000" w:themeColor="text1"/>
                <w:sz w:val="20"/>
              </w:rPr>
              <w:t>Natur og Miljø</w:t>
            </w:r>
          </w:p>
        </w:tc>
        <w:tc>
          <w:tcPr>
            <w:tcW w:w="1580" w:type="dxa"/>
            <w:tcBorders>
              <w:top w:val="single" w:sz="12" w:space="0" w:color="auto"/>
              <w:left w:val="nil"/>
              <w:bottom w:val="single" w:sz="8" w:space="0" w:color="auto"/>
              <w:right w:val="single" w:sz="8" w:space="0" w:color="auto"/>
            </w:tcBorders>
            <w:shd w:val="clear" w:color="auto" w:fill="auto"/>
            <w:noWrap/>
            <w:vAlign w:val="bottom"/>
          </w:tcPr>
          <w:p w:rsidR="00973758" w:rsidRPr="004C0BD9" w:rsidRDefault="006B0FC8">
            <w:pPr>
              <w:spacing w:line="240" w:lineRule="auto"/>
              <w:ind w:left="214"/>
              <w:rPr>
                <w:rFonts w:ascii="Arial" w:hAnsi="Arial" w:cs="Arial"/>
                <w:color w:val="000000" w:themeColor="text1"/>
                <w:sz w:val="20"/>
              </w:rPr>
            </w:pPr>
            <w:r>
              <w:rPr>
                <w:rFonts w:ascii="Arial" w:hAnsi="Arial" w:cs="Arial"/>
                <w:color w:val="000000" w:themeColor="text1"/>
                <w:sz w:val="20"/>
              </w:rPr>
              <w:t>80</w:t>
            </w:r>
            <w:r w:rsidR="00973758" w:rsidRPr="004C0BD9">
              <w:rPr>
                <w:rFonts w:ascii="Arial" w:hAnsi="Arial" w:cs="Arial"/>
                <w:color w:val="000000" w:themeColor="text1"/>
                <w:sz w:val="20"/>
              </w:rPr>
              <w:t xml:space="preserve"> t NPK</w:t>
            </w:r>
          </w:p>
        </w:tc>
        <w:tc>
          <w:tcPr>
            <w:tcW w:w="1340" w:type="dxa"/>
            <w:tcBorders>
              <w:top w:val="single" w:sz="12" w:space="0" w:color="auto"/>
              <w:left w:val="nil"/>
              <w:bottom w:val="single" w:sz="8" w:space="0" w:color="auto"/>
              <w:right w:val="single" w:sz="12" w:space="0" w:color="auto"/>
            </w:tcBorders>
            <w:shd w:val="clear" w:color="auto" w:fill="auto"/>
            <w:noWrap/>
            <w:vAlign w:val="bottom"/>
          </w:tcPr>
          <w:p w:rsidR="00973758" w:rsidRPr="004C0BD9" w:rsidRDefault="006B0FC8">
            <w:pPr>
              <w:spacing w:line="240" w:lineRule="auto"/>
              <w:ind w:left="214"/>
              <w:jc w:val="right"/>
              <w:rPr>
                <w:rFonts w:ascii="Arial" w:hAnsi="Arial" w:cs="Arial"/>
                <w:color w:val="000000" w:themeColor="text1"/>
                <w:sz w:val="20"/>
              </w:rPr>
            </w:pPr>
            <w:r>
              <w:rPr>
                <w:rFonts w:ascii="Arial" w:hAnsi="Arial" w:cs="Arial"/>
                <w:color w:val="000000" w:themeColor="text1"/>
                <w:sz w:val="20"/>
              </w:rPr>
              <w:t>455</w:t>
            </w:r>
          </w:p>
        </w:tc>
      </w:tr>
      <w:tr w:rsidR="00BA3E4B">
        <w:trPr>
          <w:trHeight w:val="270"/>
        </w:trPr>
        <w:tc>
          <w:tcPr>
            <w:tcW w:w="2320" w:type="dxa"/>
            <w:tcBorders>
              <w:top w:val="nil"/>
              <w:left w:val="single" w:sz="12" w:space="0" w:color="auto"/>
              <w:bottom w:val="nil"/>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Skovrejsning</w:t>
            </w:r>
          </w:p>
        </w:tc>
        <w:tc>
          <w:tcPr>
            <w:tcW w:w="2200" w:type="dxa"/>
            <w:tcBorders>
              <w:top w:val="nil"/>
              <w:left w:val="nil"/>
              <w:bottom w:val="nil"/>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Teknik og Miljø</w:t>
            </w:r>
          </w:p>
        </w:tc>
        <w:tc>
          <w:tcPr>
            <w:tcW w:w="2200" w:type="dxa"/>
            <w:tcBorders>
              <w:top w:val="nil"/>
              <w:left w:val="nil"/>
              <w:bottom w:val="nil"/>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Natur og Miljø</w:t>
            </w:r>
          </w:p>
        </w:tc>
        <w:tc>
          <w:tcPr>
            <w:tcW w:w="1580" w:type="dxa"/>
            <w:tcBorders>
              <w:top w:val="nil"/>
              <w:left w:val="nil"/>
              <w:bottom w:val="nil"/>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 </w:t>
            </w:r>
          </w:p>
        </w:tc>
        <w:tc>
          <w:tcPr>
            <w:tcW w:w="1340" w:type="dxa"/>
            <w:tcBorders>
              <w:top w:val="nil"/>
              <w:left w:val="nil"/>
              <w:bottom w:val="nil"/>
              <w:right w:val="single" w:sz="12" w:space="0" w:color="auto"/>
            </w:tcBorders>
            <w:shd w:val="clear" w:color="auto" w:fill="auto"/>
            <w:noWrap/>
            <w:vAlign w:val="bottom"/>
          </w:tcPr>
          <w:p w:rsidR="00BA3E4B" w:rsidRPr="004C0BD9" w:rsidRDefault="006B7FC5" w:rsidP="006B0FC8">
            <w:pPr>
              <w:spacing w:line="240" w:lineRule="auto"/>
              <w:ind w:left="214"/>
              <w:jc w:val="right"/>
              <w:rPr>
                <w:rFonts w:ascii="Arial" w:hAnsi="Arial" w:cs="Arial"/>
                <w:color w:val="000000" w:themeColor="text1"/>
                <w:sz w:val="20"/>
              </w:rPr>
            </w:pPr>
            <w:r w:rsidRPr="004C0BD9">
              <w:rPr>
                <w:rFonts w:ascii="Arial" w:hAnsi="Arial" w:cs="Arial"/>
                <w:color w:val="000000" w:themeColor="text1"/>
                <w:sz w:val="20"/>
              </w:rPr>
              <w:t>-</w:t>
            </w:r>
            <w:r w:rsidR="00973758" w:rsidRPr="004C0BD9">
              <w:rPr>
                <w:rFonts w:ascii="Arial" w:hAnsi="Arial" w:cs="Arial"/>
                <w:color w:val="000000" w:themeColor="text1"/>
                <w:sz w:val="20"/>
              </w:rPr>
              <w:t>12.</w:t>
            </w:r>
            <w:r w:rsidR="006B0FC8">
              <w:rPr>
                <w:rFonts w:ascii="Arial" w:hAnsi="Arial" w:cs="Arial"/>
                <w:color w:val="000000" w:themeColor="text1"/>
                <w:sz w:val="20"/>
              </w:rPr>
              <w:t>661</w:t>
            </w:r>
          </w:p>
        </w:tc>
      </w:tr>
      <w:tr w:rsidR="006B0FC8" w:rsidTr="00697E43">
        <w:trPr>
          <w:trHeight w:val="285"/>
        </w:trPr>
        <w:tc>
          <w:tcPr>
            <w:tcW w:w="8300" w:type="dxa"/>
            <w:gridSpan w:val="4"/>
            <w:tcBorders>
              <w:top w:val="single" w:sz="12" w:space="0" w:color="auto"/>
              <w:left w:val="single" w:sz="12" w:space="0" w:color="auto"/>
              <w:bottom w:val="single" w:sz="12" w:space="0" w:color="auto"/>
              <w:right w:val="single" w:sz="8" w:space="0" w:color="auto"/>
            </w:tcBorders>
            <w:shd w:val="clear" w:color="auto" w:fill="auto"/>
            <w:noWrap/>
            <w:vAlign w:val="bottom"/>
          </w:tcPr>
          <w:p w:rsidR="006B0FC8" w:rsidRPr="004C0BD9" w:rsidRDefault="006B0FC8" w:rsidP="006B0FC8">
            <w:pPr>
              <w:spacing w:line="240" w:lineRule="auto"/>
              <w:ind w:left="214"/>
              <w:jc w:val="right"/>
              <w:rPr>
                <w:rFonts w:ascii="Arial" w:hAnsi="Arial" w:cs="Arial"/>
                <w:b/>
                <w:bCs/>
                <w:color w:val="000000" w:themeColor="text1"/>
                <w:sz w:val="20"/>
              </w:rPr>
            </w:pPr>
            <w:r w:rsidRPr="004C0BD9">
              <w:rPr>
                <w:rFonts w:ascii="Arial" w:hAnsi="Arial" w:cs="Arial"/>
                <w:b/>
                <w:bCs/>
                <w:color w:val="000000" w:themeColor="text1"/>
                <w:sz w:val="20"/>
              </w:rPr>
              <w:t>Sum</w:t>
            </w:r>
            <w:r>
              <w:rPr>
                <w:rFonts w:ascii="Arial" w:hAnsi="Arial" w:cs="Arial"/>
                <w:b/>
                <w:bCs/>
                <w:color w:val="000000" w:themeColor="text1"/>
                <w:sz w:val="20"/>
              </w:rPr>
              <w:t xml:space="preserve"> CO2 (ton)</w:t>
            </w:r>
          </w:p>
        </w:tc>
        <w:tc>
          <w:tcPr>
            <w:tcW w:w="1340" w:type="dxa"/>
            <w:tcBorders>
              <w:top w:val="single" w:sz="12" w:space="0" w:color="auto"/>
              <w:left w:val="nil"/>
              <w:bottom w:val="single" w:sz="12" w:space="0" w:color="auto"/>
              <w:right w:val="single" w:sz="12" w:space="0" w:color="auto"/>
            </w:tcBorders>
            <w:shd w:val="clear" w:color="auto" w:fill="auto"/>
            <w:noWrap/>
            <w:vAlign w:val="bottom"/>
          </w:tcPr>
          <w:p w:rsidR="006B0FC8" w:rsidRPr="004C0BD9" w:rsidRDefault="006B0FC8" w:rsidP="006B0FC8">
            <w:pPr>
              <w:spacing w:line="240" w:lineRule="auto"/>
              <w:ind w:left="214"/>
              <w:jc w:val="right"/>
              <w:rPr>
                <w:rFonts w:ascii="Arial" w:hAnsi="Arial" w:cs="Arial"/>
                <w:b/>
                <w:bCs/>
                <w:color w:val="000000" w:themeColor="text1"/>
                <w:sz w:val="20"/>
              </w:rPr>
            </w:pPr>
            <w:r w:rsidRPr="004C0BD9">
              <w:rPr>
                <w:rFonts w:ascii="Arial" w:hAnsi="Arial" w:cs="Arial"/>
                <w:b/>
                <w:bCs/>
                <w:color w:val="000000" w:themeColor="text1"/>
                <w:sz w:val="20"/>
              </w:rPr>
              <w:t>-1</w:t>
            </w:r>
            <w:r>
              <w:rPr>
                <w:rFonts w:ascii="Arial" w:hAnsi="Arial" w:cs="Arial"/>
                <w:b/>
                <w:bCs/>
                <w:color w:val="000000" w:themeColor="text1"/>
                <w:sz w:val="20"/>
              </w:rPr>
              <w:t>4.757</w:t>
            </w:r>
          </w:p>
        </w:tc>
      </w:tr>
    </w:tbl>
    <w:p w:rsidR="005B1DDD" w:rsidRDefault="008C014F" w:rsidP="005B1DDD">
      <w:pPr>
        <w:pStyle w:val="Billedtekst"/>
      </w:pPr>
      <w:r>
        <w:t xml:space="preserve">Tabel </w:t>
      </w:r>
      <w:r w:rsidR="002579DF">
        <w:t>8</w:t>
      </w:r>
      <w:r w:rsidR="005B1DDD">
        <w:t>.1 Registreret kunstgødningsforbrug og beregnet reduktion i CO</w:t>
      </w:r>
      <w:r w:rsidR="005B1DDD">
        <w:rPr>
          <w:vertAlign w:val="subscript"/>
        </w:rPr>
        <w:t xml:space="preserve">2 </w:t>
      </w:r>
      <w:r w:rsidR="005B1DDD">
        <w:t xml:space="preserve">emission fra vådområder og skovrejsning i </w:t>
      </w:r>
      <w:r w:rsidR="006860D0">
        <w:t>Aarhus</w:t>
      </w:r>
      <w:r w:rsidR="005B1DDD">
        <w:t xml:space="preserve"> Kommunes virksomhed i </w:t>
      </w:r>
      <w:r w:rsidR="00056BB5">
        <w:t>20</w:t>
      </w:r>
      <w:r w:rsidR="006B0FC8">
        <w:t>1</w:t>
      </w:r>
      <w:r w:rsidR="00056BB5">
        <w:t>0</w:t>
      </w:r>
      <w:r w:rsidR="005B1DDD">
        <w:t xml:space="preserve">. </w:t>
      </w:r>
    </w:p>
    <w:p w:rsidR="007930B9" w:rsidRDefault="007930B9" w:rsidP="007930B9">
      <w:pPr>
        <w:pStyle w:val="Brdtekst"/>
      </w:pPr>
      <w:bookmarkStart w:id="28" w:name="_Toc226286762"/>
      <w:bookmarkStart w:id="29" w:name="_Toc232419861"/>
      <w:bookmarkStart w:id="30" w:name="_Toc238867697"/>
      <w:r>
        <w:t>Der er i CO</w:t>
      </w:r>
      <w:r>
        <w:rPr>
          <w:vertAlign w:val="subscript"/>
        </w:rPr>
        <w:t>2</w:t>
      </w:r>
      <w:r>
        <w:t xml:space="preserve"> opgørelsen for 2010 medregnet effekten af de to vådområder Årslev Engsø og Egå Engsø, som begge er etableret før 2009. </w:t>
      </w:r>
    </w:p>
    <w:p w:rsidR="006B0FC8" w:rsidRDefault="00695376" w:rsidP="00695376">
      <w:pPr>
        <w:pStyle w:val="Brdtekst"/>
      </w:pPr>
      <w:r>
        <w:t>Der er etableret ca. 19 ha ny skov i 2011, og dermed er CO</w:t>
      </w:r>
      <w:r w:rsidRPr="00D373C9">
        <w:rPr>
          <w:vertAlign w:val="subscript"/>
        </w:rPr>
        <w:t>2</w:t>
      </w:r>
      <w:r>
        <w:t>-optaget steget ca. 300 ton</w:t>
      </w:r>
      <w:r w:rsidR="007A0FD9">
        <w:t xml:space="preserve"> i forhold til 2009</w:t>
      </w:r>
      <w:r>
        <w:t>. CO</w:t>
      </w:r>
      <w:r w:rsidRPr="00D373C9">
        <w:rPr>
          <w:vertAlign w:val="subscript"/>
        </w:rPr>
        <w:t>2</w:t>
      </w:r>
      <w:r>
        <w:t xml:space="preserve">-optaget fra vådområder samt forbrug af kunstgødning er det samme som i 2009. </w:t>
      </w:r>
    </w:p>
    <w:p w:rsidR="00BA3E4B" w:rsidRDefault="006B7FC5" w:rsidP="00EA7996">
      <w:pPr>
        <w:pStyle w:val="Overskrift1"/>
        <w:numPr>
          <w:ilvl w:val="0"/>
          <w:numId w:val="12"/>
        </w:numPr>
      </w:pPr>
      <w:bookmarkStart w:id="31" w:name="_Toc238867701"/>
      <w:bookmarkStart w:id="32" w:name="_Toc300217016"/>
      <w:bookmarkEnd w:id="28"/>
      <w:bookmarkEnd w:id="29"/>
      <w:bookmarkEnd w:id="30"/>
      <w:r>
        <w:t>Affald</w:t>
      </w:r>
      <w:bookmarkEnd w:id="31"/>
      <w:bookmarkEnd w:id="32"/>
    </w:p>
    <w:p w:rsidR="00BA3E4B" w:rsidRDefault="006B7FC5">
      <w:pPr>
        <w:pStyle w:val="Brdtekst"/>
      </w:pPr>
      <w:r>
        <w:t>Kommunen håndterer langt hovedparten af det affald, som kommunens borgere producerer. CO</w:t>
      </w:r>
      <w:r>
        <w:rPr>
          <w:vertAlign w:val="subscript"/>
        </w:rPr>
        <w:t>2</w:t>
      </w:r>
      <w:r>
        <w:t xml:space="preserve"> udledning fra håndtering af affaldet er omfattet af opgørelsen over elforbruget i af</w:t>
      </w:r>
      <w:r w:rsidR="007A0FD9">
        <w:t>snit 3</w:t>
      </w:r>
      <w:r>
        <w:t xml:space="preserve">. </w:t>
      </w:r>
    </w:p>
    <w:p w:rsidR="00BA3E4B" w:rsidRDefault="006B7FC5">
      <w:pPr>
        <w:pStyle w:val="Brdtekst"/>
      </w:pPr>
      <w:r>
        <w:lastRenderedPageBreak/>
        <w:t>Udledning af CH</w:t>
      </w:r>
      <w:r>
        <w:rPr>
          <w:vertAlign w:val="subscript"/>
        </w:rPr>
        <w:t>4</w:t>
      </w:r>
      <w:r>
        <w:t xml:space="preserve"> fra affaldsdeponering fra kommunens egen virksomhed udgør et forsvindende bidrag til den samlede CH</w:t>
      </w:r>
      <w:r>
        <w:rPr>
          <w:vertAlign w:val="subscript"/>
        </w:rPr>
        <w:t>4</w:t>
      </w:r>
      <w:r>
        <w:t xml:space="preserve"> emission fra deponering af affald i kommunen og er derfor ikke medtaget i opgørelsen. </w:t>
      </w:r>
      <w:bookmarkStart w:id="33" w:name="_Toc226286767"/>
      <w:bookmarkStart w:id="34" w:name="_Toc238867702"/>
    </w:p>
    <w:p w:rsidR="00BA3E4B" w:rsidRDefault="006B7FC5" w:rsidP="00EA7996">
      <w:pPr>
        <w:pStyle w:val="Overskrift1"/>
        <w:numPr>
          <w:ilvl w:val="0"/>
          <w:numId w:val="12"/>
        </w:numPr>
      </w:pPr>
      <w:bookmarkStart w:id="35" w:name="_Toc300217017"/>
      <w:r>
        <w:t>Spildevand</w:t>
      </w:r>
      <w:bookmarkEnd w:id="33"/>
      <w:bookmarkEnd w:id="34"/>
      <w:bookmarkEnd w:id="35"/>
    </w:p>
    <w:p w:rsidR="00BA3E4B" w:rsidRDefault="006B7FC5">
      <w:pPr>
        <w:pStyle w:val="Brdtekst"/>
      </w:pPr>
      <w:r>
        <w:t>Udledning af CO</w:t>
      </w:r>
      <w:r>
        <w:rPr>
          <w:vertAlign w:val="subscript"/>
        </w:rPr>
        <w:t>2</w:t>
      </w:r>
      <w:r>
        <w:t xml:space="preserve"> fra selve spildevandet er ikke omfattet af Kommunens egen</w:t>
      </w:r>
      <w:r w:rsidR="00745E85">
        <w:t xml:space="preserve"> </w:t>
      </w:r>
      <w:r>
        <w:t>virksomhed. CO</w:t>
      </w:r>
      <w:r>
        <w:rPr>
          <w:vertAlign w:val="subscript"/>
        </w:rPr>
        <w:t>2</w:t>
      </w:r>
      <w:r>
        <w:t xml:space="preserve"> udledning fra håndtering af spildevandet er omfattet af opgørelsen ov</w:t>
      </w:r>
      <w:r w:rsidR="008C014F">
        <w:t xml:space="preserve">er </w:t>
      </w:r>
      <w:r w:rsidR="007A0FD9">
        <w:t>elforbruget i afsnit 3</w:t>
      </w:r>
      <w:r>
        <w:t>.</w:t>
      </w:r>
    </w:p>
    <w:p w:rsidR="00BA3E4B" w:rsidRDefault="00BA3E4B">
      <w:pPr>
        <w:pStyle w:val="Brdtekst"/>
      </w:pPr>
    </w:p>
    <w:p w:rsidR="006A558D" w:rsidRDefault="006A558D">
      <w:r>
        <w:br w:type="page"/>
      </w:r>
    </w:p>
    <w:p w:rsidR="006A558D" w:rsidRPr="006A558D" w:rsidRDefault="006A558D" w:rsidP="007930B9">
      <w:pPr>
        <w:pStyle w:val="Overskrift1"/>
        <w:numPr>
          <w:ilvl w:val="0"/>
          <w:numId w:val="0"/>
        </w:numPr>
        <w:ind w:left="432" w:hanging="432"/>
      </w:pPr>
      <w:bookmarkStart w:id="36" w:name="_Toc300217018"/>
      <w:r w:rsidRPr="006A558D">
        <w:lastRenderedPageBreak/>
        <w:t xml:space="preserve">Bilag 1: Beregningsforudsætninger og </w:t>
      </w:r>
      <w:r w:rsidR="007930B9">
        <w:t>data</w:t>
      </w:r>
      <w:bookmarkEnd w:id="36"/>
    </w:p>
    <w:p w:rsidR="006A558D" w:rsidRPr="006A558D" w:rsidRDefault="006A558D" w:rsidP="006A558D"/>
    <w:p w:rsidR="006A558D" w:rsidRDefault="006A558D" w:rsidP="007930B9">
      <w:pPr>
        <w:spacing w:after="0" w:line="360" w:lineRule="auto"/>
        <w:rPr>
          <w:b/>
        </w:rPr>
      </w:pPr>
      <w:r w:rsidRPr="006A558D">
        <w:rPr>
          <w:b/>
        </w:rPr>
        <w:t>El</w:t>
      </w:r>
    </w:p>
    <w:p w:rsidR="007930B9" w:rsidRPr="00035701" w:rsidRDefault="007930B9" w:rsidP="007930B9">
      <w:pPr>
        <w:pStyle w:val="Brdtekst"/>
      </w:pPr>
      <w:r>
        <w:t>Data</w:t>
      </w:r>
      <w:r w:rsidRPr="00035701">
        <w:t xml:space="preserve"> for elforbruget er for kommunale bygninger indhentet via Agenda2100 som er kommunens elektroniske registreringssystem. </w:t>
      </w:r>
      <w:r w:rsidR="00A45375">
        <w:t xml:space="preserve">Der er ikke medtaget bygninger der udlejes, idet der ikke kan opnås oplysninger om energiforbrug fra disse. </w:t>
      </w:r>
      <w:r w:rsidRPr="00035701">
        <w:t xml:space="preserve">Der er desuden indhentet data fra Århus Vand og AffaldVarme Aarhus for deres driftsanlæg m.m. </w:t>
      </w:r>
    </w:p>
    <w:p w:rsidR="007930B9" w:rsidRPr="00035701" w:rsidRDefault="007930B9" w:rsidP="007930B9">
      <w:pPr>
        <w:pStyle w:val="Brdtekst"/>
      </w:pPr>
      <w:r w:rsidRPr="00035701">
        <w:t>Elforbruget ved AffaldVarme Aarhus (AVA) omfatter fjernvarmetransmission, fjernvarmedistribution, forbrænding inkl. røggasanlæg, pumper, ventilation og belysning både indendørs og udendørs.</w:t>
      </w:r>
    </w:p>
    <w:p w:rsidR="007930B9" w:rsidRPr="00035701" w:rsidRDefault="007930B9" w:rsidP="007930B9">
      <w:pPr>
        <w:pStyle w:val="Brdtekst"/>
      </w:pPr>
      <w:r w:rsidRPr="00035701">
        <w:t>Elforbruget til vejbelysning er oplyst af Trafik og Veje, og er på ca. 16,6 GWh pr. år.</w:t>
      </w:r>
    </w:p>
    <w:p w:rsidR="007930B9" w:rsidRDefault="007930B9" w:rsidP="007930B9">
      <w:pPr>
        <w:pStyle w:val="Brdtekst"/>
      </w:pPr>
      <w:r>
        <w:t>Der er ved beregning af CO</w:t>
      </w:r>
      <w:r>
        <w:rPr>
          <w:vertAlign w:val="subscript"/>
        </w:rPr>
        <w:t xml:space="preserve">2 </w:t>
      </w:r>
      <w:r>
        <w:t>udledningen relateret til el-forbrug anvendt en modificeret Tier 2 metode. CO</w:t>
      </w:r>
      <w:r>
        <w:rPr>
          <w:vertAlign w:val="subscript"/>
        </w:rPr>
        <w:t xml:space="preserve">2 </w:t>
      </w:r>
      <w:r>
        <w:t xml:space="preserve">emissionen per kWh er beregnet efter den såkaldte Energikvalitetsmetode, der er baseret på fordeling af brændselsforbruget på elproduktion og merbrændselsforbrug til fjernvarmeproduktion. Det er den metode, der kommer tættest på den såkaldte merbrændselsmetode, der bruges for kraftvarme i denne opgørelse, og kan gennemføres ud fra Energinet.dk's miljødeklarationer for el i Danmark. </w:t>
      </w:r>
    </w:p>
    <w:p w:rsidR="007930B9" w:rsidRDefault="007930B9" w:rsidP="007930B9">
      <w:r>
        <w:t>CO</w:t>
      </w:r>
      <w:r w:rsidRPr="00D373C9">
        <w:rPr>
          <w:vertAlign w:val="subscript"/>
        </w:rPr>
        <w:t>2</w:t>
      </w:r>
      <w:r>
        <w:t>-udledningen er afhængig af det reelle el-forbrug og af emissionsfaktoren for el (kg CO</w:t>
      </w:r>
      <w:r w:rsidRPr="00D373C9">
        <w:rPr>
          <w:vertAlign w:val="subscript"/>
        </w:rPr>
        <w:t>2</w:t>
      </w:r>
      <w:r>
        <w:t>/MWH).</w:t>
      </w:r>
    </w:p>
    <w:p w:rsidR="007930B9" w:rsidRPr="00035701" w:rsidRDefault="007930B9" w:rsidP="007930B9">
      <w:r w:rsidRPr="004928BC">
        <w:t>CO</w:t>
      </w:r>
      <w:r w:rsidRPr="004928BC">
        <w:rPr>
          <w:vertAlign w:val="subscript"/>
        </w:rPr>
        <w:t xml:space="preserve">2 </w:t>
      </w:r>
      <w:r w:rsidRPr="004928BC">
        <w:t xml:space="preserve">emissionen er beregnet ved at bruge en emissionsfaktor for </w:t>
      </w:r>
      <w:r>
        <w:t>Danmark</w:t>
      </w:r>
      <w:r w:rsidRPr="004928BC">
        <w:t xml:space="preserve"> fra Energinet dk fra 20</w:t>
      </w:r>
      <w:r>
        <w:t>10</w:t>
      </w:r>
      <w:r w:rsidRPr="004928BC">
        <w:rPr>
          <w:color w:val="FF0000"/>
        </w:rPr>
        <w:t xml:space="preserve"> </w:t>
      </w:r>
      <w:r w:rsidRPr="004928BC">
        <w:t>på 5</w:t>
      </w:r>
      <w:r>
        <w:t>00</w:t>
      </w:r>
      <w:r w:rsidRPr="004928BC">
        <w:rPr>
          <w:color w:val="FF0000"/>
        </w:rPr>
        <w:t xml:space="preserve"> </w:t>
      </w:r>
      <w:r w:rsidRPr="004928BC">
        <w:t>kg CO</w:t>
      </w:r>
      <w:r w:rsidRPr="004928BC">
        <w:rPr>
          <w:vertAlign w:val="subscript"/>
        </w:rPr>
        <w:t>2</w:t>
      </w:r>
      <w:r w:rsidRPr="004928BC">
        <w:t>-ek</w:t>
      </w:r>
      <w:r>
        <w:t>vivalenter/MWh, beregnet efter E</w:t>
      </w:r>
      <w:r w:rsidRPr="004928BC">
        <w:t xml:space="preserve">nergikvalitetsmetoden, og idet små bidrag fra methan, lattergas, mv. også er indregnet (jf. Energinet.dk's miljødeklaration). Denne faktor er korrigeret med et nettab på 5 %, så </w:t>
      </w:r>
      <w:r w:rsidRPr="00035701">
        <w:t>emissionsfaktoren bliver 526 kg CO</w:t>
      </w:r>
      <w:r w:rsidRPr="00035701">
        <w:rPr>
          <w:vertAlign w:val="subscript"/>
        </w:rPr>
        <w:t>2</w:t>
      </w:r>
      <w:r w:rsidRPr="00035701">
        <w:t xml:space="preserve">/MWh. </w:t>
      </w:r>
      <w:r>
        <w:t xml:space="preserve">Dette er et fald i forhold til 2009, hvor faktoren var 542 </w:t>
      </w:r>
      <w:r w:rsidRPr="00035701">
        <w:t>kg CO</w:t>
      </w:r>
      <w:r w:rsidRPr="00035701">
        <w:rPr>
          <w:vertAlign w:val="subscript"/>
        </w:rPr>
        <w:t>2</w:t>
      </w:r>
      <w:r w:rsidRPr="00035701">
        <w:t>/MWh</w:t>
      </w:r>
    </w:p>
    <w:p w:rsidR="006A558D" w:rsidRPr="006A558D" w:rsidRDefault="006A558D" w:rsidP="007930B9">
      <w:pPr>
        <w:spacing w:after="0" w:line="360" w:lineRule="auto"/>
        <w:rPr>
          <w:b/>
        </w:rPr>
      </w:pPr>
      <w:r w:rsidRPr="006A558D">
        <w:rPr>
          <w:b/>
        </w:rPr>
        <w:t>Varmeforbrug</w:t>
      </w:r>
    </w:p>
    <w:p w:rsidR="006A558D" w:rsidRPr="006A558D" w:rsidRDefault="006A558D" w:rsidP="006A558D">
      <w:r w:rsidRPr="006A558D">
        <w:t xml:space="preserve">Oplysninger om varmeforbruget i Aarhus Kommune er for kommunale bygninger hentet via kommunens elektroniske registreringssystem Agenda 2100. </w:t>
      </w:r>
      <w:r w:rsidR="00C709D9">
        <w:t xml:space="preserve">Der er ikke medtaget bygninger der udlejes, idet der ikke kan opnås oplysninger om energiforbrug fra disse. </w:t>
      </w:r>
      <w:r w:rsidRPr="006A558D">
        <w:t xml:space="preserve">Dette er suppleret med oplysninger fra Midttrafik (Aarhus Sporveje), Aarhus Vand AS og AffaldVarme Aarhus (AVA). </w:t>
      </w:r>
    </w:p>
    <w:p w:rsidR="006A558D" w:rsidRPr="006A558D" w:rsidRDefault="006A558D" w:rsidP="006A558D">
      <w:r w:rsidRPr="006A558D">
        <w:t xml:space="preserve">Der er anvendt en emissionsfaktor på 163 kg </w:t>
      </w:r>
      <w:r w:rsidRPr="00F23558">
        <w:t>CO</w:t>
      </w:r>
      <w:r w:rsidRPr="00F23558">
        <w:rPr>
          <w:vertAlign w:val="subscript"/>
        </w:rPr>
        <w:t>2</w:t>
      </w:r>
      <w:r w:rsidRPr="006A558D">
        <w:t xml:space="preserve">/MWh for fjernvarme. Emissionsfaktoren er baseret på AVA´s opgørelse for samlet fjernvarmeproduktion til nettet i Aarhus Kommune. Emissionsfaktoren er beregnet på grundlag af en teoretisk fordeling af </w:t>
      </w:r>
      <w:r w:rsidRPr="00F23558">
        <w:t>CO</w:t>
      </w:r>
      <w:r w:rsidRPr="00F23558">
        <w:rPr>
          <w:vertAlign w:val="subscript"/>
        </w:rPr>
        <w:t>2</w:t>
      </w:r>
      <w:r w:rsidRPr="006A558D">
        <w:t xml:space="preserve"> emissionen på el og varme kaldet merbrændselsmetoden, som angiver den mest korrekte fordeling af emissionen fra el- og varmeproducerende anlæg.  Emissionsfaktoren er beregnet an forbruger, dvs. beregningen tager hensyn til det nettab der sker fra det varmeproducerende anlæg frem til vekslerstationerne (transmissionstabet) og  nettabet ved distribution af fjernvarmen fra vekslerstationer frem til forbrugeren. Nettabet er antaget at være 20 %.</w:t>
      </w:r>
    </w:p>
    <w:p w:rsidR="006A558D" w:rsidRDefault="006A558D" w:rsidP="006A558D">
      <w:r w:rsidRPr="006A558D">
        <w:t xml:space="preserve">Der er </w:t>
      </w:r>
      <w:r w:rsidR="007930B9">
        <w:t xml:space="preserve">desuden </w:t>
      </w:r>
      <w:r w:rsidRPr="006A558D">
        <w:t>indhentet oplysninger om kommunens forbrug af fyringsolie til opvarmning ved kommunens leverandører Q8 og Statoil.</w:t>
      </w:r>
    </w:p>
    <w:p w:rsidR="007930B9" w:rsidRPr="006A558D" w:rsidRDefault="007930B9" w:rsidP="006A558D"/>
    <w:p w:rsidR="006A558D" w:rsidRPr="006A558D" w:rsidRDefault="006A558D" w:rsidP="007930B9">
      <w:pPr>
        <w:spacing w:after="0" w:line="360" w:lineRule="auto"/>
        <w:rPr>
          <w:b/>
        </w:rPr>
      </w:pPr>
      <w:r w:rsidRPr="006A558D">
        <w:rPr>
          <w:b/>
        </w:rPr>
        <w:lastRenderedPageBreak/>
        <w:t>Transport</w:t>
      </w:r>
    </w:p>
    <w:p w:rsidR="007930B9" w:rsidRPr="00F82C6B" w:rsidRDefault="007930B9" w:rsidP="007930B9">
      <w:pPr>
        <w:pStyle w:val="Brdtekst"/>
      </w:pPr>
      <w:r w:rsidRPr="00F82C6B">
        <w:t>Der er indhentet oplysninger for følgende:</w:t>
      </w:r>
    </w:p>
    <w:p w:rsidR="007930B9" w:rsidRPr="00F82C6B" w:rsidRDefault="007930B9" w:rsidP="007930B9">
      <w:pPr>
        <w:pStyle w:val="Brdtekst"/>
        <w:numPr>
          <w:ilvl w:val="0"/>
          <w:numId w:val="29"/>
        </w:numPr>
      </w:pPr>
      <w:r w:rsidRPr="00F82C6B">
        <w:t xml:space="preserve">tjenestekørsel – i firmabil og egen bil samt non-road kørsel via opgørelser fra Q8 og Statoil for køb af brændstoffer samt udbetalinger </w:t>
      </w:r>
      <w:r>
        <w:t>af kørselsgodtgørelser</w:t>
      </w:r>
      <w:r w:rsidRPr="00F82C6B">
        <w:t xml:space="preserve"> </w:t>
      </w:r>
    </w:p>
    <w:p w:rsidR="00306663" w:rsidRDefault="00306663" w:rsidP="00306663">
      <w:pPr>
        <w:pStyle w:val="Brdtekst"/>
        <w:numPr>
          <w:ilvl w:val="0"/>
          <w:numId w:val="29"/>
        </w:numPr>
      </w:pPr>
      <w:r w:rsidRPr="00F82C6B">
        <w:t xml:space="preserve">rejseaktivitet m. fly, tog og taxi/bus via opgørelse fra Carlsson Wagonlit og udtræk fra kommunens indkøbssystem. Taxikørsel og andre rejseaktiviteter omfatter ikke ture der er betalt kontant. </w:t>
      </w:r>
      <w:r>
        <w:t>CO</w:t>
      </w:r>
      <w:r w:rsidRPr="003A3735">
        <w:rPr>
          <w:vertAlign w:val="subscript"/>
        </w:rPr>
        <w:t>2</w:t>
      </w:r>
      <w:r>
        <w:t xml:space="preserve">-udledningen relateret til kommunens rejser, dvs. tog og fly, </w:t>
      </w:r>
      <w:r w:rsidRPr="00F82C6B">
        <w:t xml:space="preserve">er for lavt. Det </w:t>
      </w:r>
      <w:r>
        <w:t xml:space="preserve">skyldes at der </w:t>
      </w:r>
      <w:r w:rsidRPr="00F82C6B">
        <w:t xml:space="preserve">anvendes andre rejsearrangører end Carlsson Wagonlit, </w:t>
      </w:r>
      <w:r>
        <w:t>der dog er langt den største. D</w:t>
      </w:r>
      <w:r w:rsidRPr="00F82C6B">
        <w:t xml:space="preserve">ermed er der ikke en komplet registrering af Kommunens fly- og togrejser. Ligeledes købes der en del </w:t>
      </w:r>
      <w:r>
        <w:t>tog/fly/færge</w:t>
      </w:r>
      <w:r w:rsidRPr="00F82C6B">
        <w:t>billetter, kort ol. kontan</w:t>
      </w:r>
      <w:r w:rsidR="00DF0E6D">
        <w:t>t, som heller ikke er taget med.</w:t>
      </w:r>
    </w:p>
    <w:p w:rsidR="007930B9" w:rsidRPr="00F82C6B" w:rsidRDefault="007930B9" w:rsidP="007930B9">
      <w:pPr>
        <w:pStyle w:val="Brdtekst"/>
        <w:numPr>
          <w:ilvl w:val="0"/>
          <w:numId w:val="29"/>
        </w:numPr>
      </w:pPr>
      <w:r w:rsidRPr="00F82C6B">
        <w:t xml:space="preserve">busdrift ved Midttrafik (Aarhus Sporveje), Aarhus Vand AS, </w:t>
      </w:r>
      <w:r w:rsidRPr="00F82C6B">
        <w:rPr>
          <w:szCs w:val="23"/>
        </w:rPr>
        <w:t xml:space="preserve">Teknik og Miljø, Fællesadministrationen, data fra indkøb via </w:t>
      </w:r>
      <w:r w:rsidRPr="00F82C6B">
        <w:t>indkøbsaftalerne med Q8 og Statoil</w:t>
      </w:r>
      <w:r w:rsidRPr="00F82C6B">
        <w:rPr>
          <w:szCs w:val="23"/>
        </w:rPr>
        <w:t xml:space="preserve"> samt rejsebureauet Carlsson Wagonlit (fly, tog og skibe)</w:t>
      </w:r>
      <w:r w:rsidRPr="00F82C6B">
        <w:t xml:space="preserve">. </w:t>
      </w:r>
    </w:p>
    <w:p w:rsidR="007930B9" w:rsidRPr="00F82C6B" w:rsidRDefault="007930B9" w:rsidP="007930B9">
      <w:pPr>
        <w:pStyle w:val="Brdtekst"/>
      </w:pPr>
      <w:r w:rsidRPr="00F82C6B">
        <w:t>Der er ikke indhentet data for rejseaktiviteter og taxikørsel for Midttrafik (Aarhus Sporveje) og Aarhus Vand</w:t>
      </w:r>
      <w:r>
        <w:t>, da CO</w:t>
      </w:r>
      <w:r w:rsidRPr="00143C93">
        <w:rPr>
          <w:vertAlign w:val="subscript"/>
        </w:rPr>
        <w:t>2</w:t>
      </w:r>
      <w:r>
        <w:t>-udledninger her fra vurderes som værende marginale</w:t>
      </w:r>
      <w:r w:rsidRPr="00F82C6B">
        <w:t>.</w:t>
      </w:r>
    </w:p>
    <w:p w:rsidR="007930B9" w:rsidRDefault="007930B9" w:rsidP="007930B9">
      <w:pPr>
        <w:rPr>
          <w:b/>
        </w:rPr>
      </w:pPr>
    </w:p>
    <w:p w:rsidR="007930B9" w:rsidRPr="006A558D" w:rsidRDefault="007930B9" w:rsidP="007930B9">
      <w:pPr>
        <w:spacing w:after="0" w:line="360" w:lineRule="auto"/>
        <w:rPr>
          <w:b/>
        </w:rPr>
      </w:pPr>
      <w:r>
        <w:rPr>
          <w:b/>
        </w:rPr>
        <w:t>Procesemissioner</w:t>
      </w:r>
    </w:p>
    <w:p w:rsidR="007930B9" w:rsidRDefault="007930B9" w:rsidP="007930B9">
      <w:pPr>
        <w:pStyle w:val="Brdtekst"/>
      </w:pPr>
      <w:r>
        <w:t>CO</w:t>
      </w:r>
      <w:r w:rsidRPr="00D373C9">
        <w:rPr>
          <w:vertAlign w:val="subscript"/>
        </w:rPr>
        <w:t>2</w:t>
      </w:r>
      <w:r>
        <w:t>udledningen fra processer er opgjort efter Tier 2 i CO</w:t>
      </w:r>
      <w:r w:rsidRPr="00D373C9">
        <w:rPr>
          <w:vertAlign w:val="subscript"/>
        </w:rPr>
        <w:t>2</w:t>
      </w:r>
      <w:r>
        <w:t xml:space="preserve"> beregneren. Affaldscenter Aarhus under AffaldVarme Aarhus bruger kalk (CaCO</w:t>
      </w:r>
      <w:r>
        <w:rPr>
          <w:vertAlign w:val="subscript"/>
        </w:rPr>
        <w:t>3</w:t>
      </w:r>
      <w:r>
        <w:t>) i røggasrensningen, der afspalter CO</w:t>
      </w:r>
      <w:r>
        <w:rPr>
          <w:vertAlign w:val="subscript"/>
        </w:rPr>
        <w:t>2</w:t>
      </w:r>
      <w:r>
        <w:t xml:space="preserve"> under processen. Affaldscenter Aarhus bruger desuden brændt kalk (CaO), hvor CO</w:t>
      </w:r>
      <w:r>
        <w:rPr>
          <w:vertAlign w:val="subscript"/>
        </w:rPr>
        <w:t>2</w:t>
      </w:r>
      <w:r>
        <w:t xml:space="preserve"> er afspaltet hos eksterne leverandører udenfor kommunen, og derfor ikke medregnes her. Emissionen beregnes som forbrugt mængde kalk gange emissionsfaktor for CO</w:t>
      </w:r>
      <w:r>
        <w:rPr>
          <w:vertAlign w:val="subscript"/>
        </w:rPr>
        <w:t>2</w:t>
      </w:r>
      <w:r>
        <w:t xml:space="preserve"> afgivelse fra kalk fra DMU. </w:t>
      </w:r>
    </w:p>
    <w:p w:rsidR="007930B9" w:rsidRDefault="007930B9"/>
    <w:p w:rsidR="007930B9" w:rsidRPr="006A558D" w:rsidRDefault="007930B9" w:rsidP="007930B9">
      <w:pPr>
        <w:spacing w:after="0" w:line="360" w:lineRule="auto"/>
        <w:rPr>
          <w:b/>
        </w:rPr>
      </w:pPr>
      <w:r>
        <w:rPr>
          <w:b/>
        </w:rPr>
        <w:t>Arealanvendelse</w:t>
      </w:r>
    </w:p>
    <w:p w:rsidR="007930B9" w:rsidRDefault="007930B9" w:rsidP="007930B9">
      <w:pPr>
        <w:pStyle w:val="Brdtekst"/>
      </w:pPr>
      <w:r w:rsidRPr="00745E85">
        <w:t>Det antages at alt rejst skov er løvskov. CO</w:t>
      </w:r>
      <w:r w:rsidRPr="00745E85">
        <w:rPr>
          <w:vertAlign w:val="subscript"/>
        </w:rPr>
        <w:t>2</w:t>
      </w:r>
      <w:r w:rsidRPr="00745E85">
        <w:t xml:space="preserve"> effekten af skovrejsning er beregnet ved hjælp af KL's og Klimaministeriets CO</w:t>
      </w:r>
      <w:r w:rsidRPr="00745E85">
        <w:rPr>
          <w:vertAlign w:val="subscript"/>
        </w:rPr>
        <w:t>2</w:t>
      </w:r>
      <w:r w:rsidRPr="00745E85">
        <w:t xml:space="preserve"> beregner. </w:t>
      </w:r>
      <w:r>
        <w:t>Der er ikke indhentet oplysninger om parker og vejtræer, da bidragene forventes at være helt marginale.</w:t>
      </w:r>
    </w:p>
    <w:p w:rsidR="007930B9" w:rsidRPr="00EF6BF8" w:rsidRDefault="007930B9" w:rsidP="007930B9">
      <w:pPr>
        <w:pStyle w:val="Brdtekst"/>
        <w:rPr>
          <w:color w:val="000000" w:themeColor="text1"/>
        </w:rPr>
      </w:pPr>
      <w:r>
        <w:t>Forbruget af handelsgødning og den tilhørende CO</w:t>
      </w:r>
      <w:r>
        <w:rPr>
          <w:vertAlign w:val="subscript"/>
        </w:rPr>
        <w:t>2</w:t>
      </w:r>
      <w:r>
        <w:t xml:space="preserve"> emission er opgjort på Tier 2 i CO</w:t>
      </w:r>
      <w:r>
        <w:rPr>
          <w:vertAlign w:val="subscript"/>
        </w:rPr>
        <w:t>2</w:t>
      </w:r>
      <w:r>
        <w:t xml:space="preserve"> beregneren. </w:t>
      </w:r>
      <w:r w:rsidRPr="00EF6BF8">
        <w:rPr>
          <w:color w:val="000000" w:themeColor="text1"/>
        </w:rPr>
        <w:t>Mulige minimale bidrag fra kalk og spagnum forbrug er ikke medregnet.</w:t>
      </w:r>
      <w:r>
        <w:rPr>
          <w:color w:val="000000" w:themeColor="text1"/>
        </w:rPr>
        <w:t xml:space="preserve"> </w:t>
      </w:r>
      <w:r w:rsidRPr="00603D67">
        <w:rPr>
          <w:color w:val="000000" w:themeColor="text1"/>
        </w:rPr>
        <w:t xml:space="preserve">I </w:t>
      </w:r>
      <w:r>
        <w:rPr>
          <w:color w:val="000000" w:themeColor="text1"/>
        </w:rPr>
        <w:t>Aarhus</w:t>
      </w:r>
      <w:r w:rsidRPr="00EF6BF8">
        <w:rPr>
          <w:color w:val="000000" w:themeColor="text1"/>
        </w:rPr>
        <w:t xml:space="preserve"> Kommunes regi bruges størstedelen af den indkøbte handelsgødning på sportsarealer, mens forbruget i parker mv. er ubetydeligt ifølge </w:t>
      </w:r>
      <w:r>
        <w:rPr>
          <w:color w:val="000000" w:themeColor="text1"/>
        </w:rPr>
        <w:t>Aarhus</w:t>
      </w:r>
      <w:r w:rsidRPr="00EF6BF8">
        <w:rPr>
          <w:color w:val="000000" w:themeColor="text1"/>
        </w:rPr>
        <w:t xml:space="preserve"> Kommune. Forbrug i parker er ikke medregnet.</w:t>
      </w:r>
    </w:p>
    <w:p w:rsidR="007930B9" w:rsidRDefault="007930B9"/>
    <w:sectPr w:rsidR="007930B9" w:rsidSect="00400E2B">
      <w:footerReference w:type="default" r:id="rId1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99" w:rsidRDefault="003F6B99" w:rsidP="006B7FC5">
      <w:pPr>
        <w:spacing w:after="0" w:line="240" w:lineRule="auto"/>
      </w:pPr>
      <w:r>
        <w:separator/>
      </w:r>
    </w:p>
  </w:endnote>
  <w:endnote w:type="continuationSeparator" w:id="0">
    <w:p w:rsidR="003F6B99" w:rsidRDefault="003F6B99" w:rsidP="006B7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3096"/>
      <w:docPartObj>
        <w:docPartGallery w:val="Page Numbers (Bottom of Page)"/>
        <w:docPartUnique/>
      </w:docPartObj>
    </w:sdtPr>
    <w:sdtContent>
      <w:sdt>
        <w:sdtPr>
          <w:id w:val="6796795"/>
          <w:docPartObj>
            <w:docPartGallery w:val="Page Numbers (Top of Page)"/>
            <w:docPartUnique/>
          </w:docPartObj>
        </w:sdtPr>
        <w:sdtContent>
          <w:p w:rsidR="003F6B99" w:rsidRDefault="003F6B99">
            <w:pPr>
              <w:pStyle w:val="Sidefod"/>
              <w:jc w:val="center"/>
            </w:pPr>
            <w:r>
              <w:t xml:space="preserve">Side </w:t>
            </w:r>
            <w:r w:rsidR="00491EBB">
              <w:rPr>
                <w:b/>
                <w:sz w:val="24"/>
                <w:szCs w:val="24"/>
              </w:rPr>
              <w:fldChar w:fldCharType="begin"/>
            </w:r>
            <w:r>
              <w:rPr>
                <w:b/>
              </w:rPr>
              <w:instrText>PAGE</w:instrText>
            </w:r>
            <w:r w:rsidR="00491EBB">
              <w:rPr>
                <w:b/>
                <w:sz w:val="24"/>
                <w:szCs w:val="24"/>
              </w:rPr>
              <w:fldChar w:fldCharType="separate"/>
            </w:r>
            <w:r w:rsidR="00141E24">
              <w:rPr>
                <w:b/>
                <w:noProof/>
              </w:rPr>
              <w:t>1</w:t>
            </w:r>
            <w:r w:rsidR="00491EBB">
              <w:rPr>
                <w:b/>
                <w:sz w:val="24"/>
                <w:szCs w:val="24"/>
              </w:rPr>
              <w:fldChar w:fldCharType="end"/>
            </w:r>
            <w:r>
              <w:t xml:space="preserve"> af </w:t>
            </w:r>
            <w:r w:rsidR="00491EBB">
              <w:rPr>
                <w:b/>
                <w:sz w:val="24"/>
                <w:szCs w:val="24"/>
              </w:rPr>
              <w:fldChar w:fldCharType="begin"/>
            </w:r>
            <w:r>
              <w:rPr>
                <w:b/>
              </w:rPr>
              <w:instrText>NUMPAGES</w:instrText>
            </w:r>
            <w:r w:rsidR="00491EBB">
              <w:rPr>
                <w:b/>
                <w:sz w:val="24"/>
                <w:szCs w:val="24"/>
              </w:rPr>
              <w:fldChar w:fldCharType="separate"/>
            </w:r>
            <w:r w:rsidR="00141E24">
              <w:rPr>
                <w:b/>
                <w:noProof/>
              </w:rPr>
              <w:t>15</w:t>
            </w:r>
            <w:r w:rsidR="00491EBB">
              <w:rPr>
                <w:b/>
                <w:sz w:val="24"/>
                <w:szCs w:val="24"/>
              </w:rPr>
              <w:fldChar w:fldCharType="end"/>
            </w:r>
          </w:p>
        </w:sdtContent>
      </w:sdt>
    </w:sdtContent>
  </w:sdt>
  <w:p w:rsidR="003F6B99" w:rsidRDefault="003F6B9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99" w:rsidRDefault="003F6B99" w:rsidP="006B7FC5">
      <w:pPr>
        <w:spacing w:after="0" w:line="240" w:lineRule="auto"/>
      </w:pPr>
      <w:r>
        <w:separator/>
      </w:r>
    </w:p>
  </w:footnote>
  <w:footnote w:type="continuationSeparator" w:id="0">
    <w:p w:rsidR="003F6B99" w:rsidRDefault="003F6B99" w:rsidP="006B7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44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B335EE"/>
    <w:multiLevelType w:val="hybridMultilevel"/>
    <w:tmpl w:val="F4260B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9D90226"/>
    <w:multiLevelType w:val="multilevel"/>
    <w:tmpl w:val="4F54D9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47C07B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FA73C3"/>
    <w:multiLevelType w:val="hybridMultilevel"/>
    <w:tmpl w:val="BB9CF2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AAE4447"/>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BBE6EFE"/>
    <w:multiLevelType w:val="multilevel"/>
    <w:tmpl w:val="50E4C2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2E677DA"/>
    <w:multiLevelType w:val="hybridMultilevel"/>
    <w:tmpl w:val="65AA868E"/>
    <w:lvl w:ilvl="0" w:tplc="04060001">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7F8217E"/>
    <w:multiLevelType w:val="hybridMultilevel"/>
    <w:tmpl w:val="42588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9AB3486"/>
    <w:multiLevelType w:val="hybridMultilevel"/>
    <w:tmpl w:val="89E20ECC"/>
    <w:lvl w:ilvl="0" w:tplc="BD9A52F2">
      <w:start w:val="29"/>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146031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DD3188"/>
    <w:multiLevelType w:val="multilevel"/>
    <w:tmpl w:val="B1802E2A"/>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nsid w:val="432F2AA6"/>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nsid w:val="451B5614"/>
    <w:multiLevelType w:val="multilevel"/>
    <w:tmpl w:val="44A018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280F03"/>
    <w:multiLevelType w:val="hybridMultilevel"/>
    <w:tmpl w:val="0E6A50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54E06C3F"/>
    <w:multiLevelType w:val="hybridMultilevel"/>
    <w:tmpl w:val="8B5A8B56"/>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5C4921D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A267A1"/>
    <w:multiLevelType w:val="hybridMultilevel"/>
    <w:tmpl w:val="931CFC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60781AE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1C293C"/>
    <w:multiLevelType w:val="hybridMultilevel"/>
    <w:tmpl w:val="4D725B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2F06C69"/>
    <w:multiLevelType w:val="hybridMultilevel"/>
    <w:tmpl w:val="929019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684A3350"/>
    <w:multiLevelType w:val="hybridMultilevel"/>
    <w:tmpl w:val="5DBC48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A3F4DE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01767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3"/>
  </w:num>
  <w:num w:numId="3">
    <w:abstractNumId w:val="0"/>
  </w:num>
  <w:num w:numId="4">
    <w:abstractNumId w:val="16"/>
  </w:num>
  <w:num w:numId="5">
    <w:abstractNumId w:val="1"/>
  </w:num>
  <w:num w:numId="6">
    <w:abstractNumId w:val="23"/>
  </w:num>
  <w:num w:numId="7">
    <w:abstractNumId w:val="3"/>
  </w:num>
  <w:num w:numId="8">
    <w:abstractNumId w:val="10"/>
  </w:num>
  <w:num w:numId="9">
    <w:abstractNumId w:val="22"/>
  </w:num>
  <w:num w:numId="10">
    <w:abstractNumId w:val="18"/>
  </w:num>
  <w:num w:numId="11">
    <w:abstractNumId w:val="2"/>
  </w:num>
  <w:num w:numId="12">
    <w:abstractNumId w:val="5"/>
  </w:num>
  <w:num w:numId="13">
    <w:abstractNumId w:val="6"/>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8"/>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5"/>
  </w:num>
  <w:num w:numId="43">
    <w:abstractNumId w:val="17"/>
  </w:num>
  <w:num w:numId="44">
    <w:abstractNumId w:val="7"/>
  </w:num>
  <w:num w:numId="45">
    <w:abstractNumId w:val="20"/>
  </w:num>
  <w:num w:numId="46">
    <w:abstractNumId w:val="4"/>
  </w:num>
  <w:num w:numId="47">
    <w:abstractNumId w:val="21"/>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A3E4B"/>
    <w:rsid w:val="0001691A"/>
    <w:rsid w:val="00035701"/>
    <w:rsid w:val="00041023"/>
    <w:rsid w:val="00053236"/>
    <w:rsid w:val="00056BB5"/>
    <w:rsid w:val="00060DFD"/>
    <w:rsid w:val="000747A5"/>
    <w:rsid w:val="000A4682"/>
    <w:rsid w:val="000C0686"/>
    <w:rsid w:val="000D50CD"/>
    <w:rsid w:val="000D6D8A"/>
    <w:rsid w:val="000D72C3"/>
    <w:rsid w:val="000E4285"/>
    <w:rsid w:val="000F3D2E"/>
    <w:rsid w:val="000F7479"/>
    <w:rsid w:val="001050A8"/>
    <w:rsid w:val="001157EA"/>
    <w:rsid w:val="00130C11"/>
    <w:rsid w:val="00141E24"/>
    <w:rsid w:val="00143C93"/>
    <w:rsid w:val="00147B91"/>
    <w:rsid w:val="0015230A"/>
    <w:rsid w:val="00152F5A"/>
    <w:rsid w:val="0019445C"/>
    <w:rsid w:val="00197753"/>
    <w:rsid w:val="001A59C7"/>
    <w:rsid w:val="001B44C2"/>
    <w:rsid w:val="001B6704"/>
    <w:rsid w:val="001E6789"/>
    <w:rsid w:val="002014A6"/>
    <w:rsid w:val="00201D7A"/>
    <w:rsid w:val="00207A35"/>
    <w:rsid w:val="00221276"/>
    <w:rsid w:val="00221E6D"/>
    <w:rsid w:val="00235387"/>
    <w:rsid w:val="00251C34"/>
    <w:rsid w:val="002579DF"/>
    <w:rsid w:val="002870F7"/>
    <w:rsid w:val="002A48FC"/>
    <w:rsid w:val="002B116E"/>
    <w:rsid w:val="002B59DD"/>
    <w:rsid w:val="002B7AF0"/>
    <w:rsid w:val="002C7007"/>
    <w:rsid w:val="002F181A"/>
    <w:rsid w:val="002F6F69"/>
    <w:rsid w:val="002F7F76"/>
    <w:rsid w:val="00306663"/>
    <w:rsid w:val="0031447C"/>
    <w:rsid w:val="00324669"/>
    <w:rsid w:val="00334549"/>
    <w:rsid w:val="00351365"/>
    <w:rsid w:val="003627AA"/>
    <w:rsid w:val="00363B76"/>
    <w:rsid w:val="0038721C"/>
    <w:rsid w:val="003948DC"/>
    <w:rsid w:val="003979E1"/>
    <w:rsid w:val="003A3735"/>
    <w:rsid w:val="003A47B9"/>
    <w:rsid w:val="003C3EB7"/>
    <w:rsid w:val="003C4F63"/>
    <w:rsid w:val="003D309D"/>
    <w:rsid w:val="003F2116"/>
    <w:rsid w:val="003F6B99"/>
    <w:rsid w:val="00400D4B"/>
    <w:rsid w:val="00400E2B"/>
    <w:rsid w:val="004255E0"/>
    <w:rsid w:val="004257B1"/>
    <w:rsid w:val="0043463C"/>
    <w:rsid w:val="00440801"/>
    <w:rsid w:val="004422EC"/>
    <w:rsid w:val="0044508D"/>
    <w:rsid w:val="00446F1A"/>
    <w:rsid w:val="0044777B"/>
    <w:rsid w:val="00456D90"/>
    <w:rsid w:val="00491EBB"/>
    <w:rsid w:val="0049215B"/>
    <w:rsid w:val="004928BC"/>
    <w:rsid w:val="004A2913"/>
    <w:rsid w:val="004C0BD9"/>
    <w:rsid w:val="004C15A6"/>
    <w:rsid w:val="004C723E"/>
    <w:rsid w:val="00523D3B"/>
    <w:rsid w:val="005268A9"/>
    <w:rsid w:val="00532B02"/>
    <w:rsid w:val="005633F6"/>
    <w:rsid w:val="00571950"/>
    <w:rsid w:val="00584C9B"/>
    <w:rsid w:val="005859AC"/>
    <w:rsid w:val="005A4ED0"/>
    <w:rsid w:val="005B1DDD"/>
    <w:rsid w:val="005C32F6"/>
    <w:rsid w:val="005E244B"/>
    <w:rsid w:val="006001E4"/>
    <w:rsid w:val="00603D67"/>
    <w:rsid w:val="00613BAC"/>
    <w:rsid w:val="00616B62"/>
    <w:rsid w:val="0061795D"/>
    <w:rsid w:val="00630061"/>
    <w:rsid w:val="00654A3F"/>
    <w:rsid w:val="00655998"/>
    <w:rsid w:val="00656CC6"/>
    <w:rsid w:val="006644EF"/>
    <w:rsid w:val="0067208F"/>
    <w:rsid w:val="00680766"/>
    <w:rsid w:val="006860D0"/>
    <w:rsid w:val="00691B9D"/>
    <w:rsid w:val="00695376"/>
    <w:rsid w:val="00697E43"/>
    <w:rsid w:val="006A558D"/>
    <w:rsid w:val="006A6FD7"/>
    <w:rsid w:val="006B0FC8"/>
    <w:rsid w:val="006B7FC5"/>
    <w:rsid w:val="006C0819"/>
    <w:rsid w:val="006C54CA"/>
    <w:rsid w:val="006C7911"/>
    <w:rsid w:val="006D644A"/>
    <w:rsid w:val="006E270B"/>
    <w:rsid w:val="00722957"/>
    <w:rsid w:val="007378B3"/>
    <w:rsid w:val="00745E85"/>
    <w:rsid w:val="0075197B"/>
    <w:rsid w:val="00753346"/>
    <w:rsid w:val="00760C9B"/>
    <w:rsid w:val="00771A1D"/>
    <w:rsid w:val="0077446F"/>
    <w:rsid w:val="007930B9"/>
    <w:rsid w:val="007946A1"/>
    <w:rsid w:val="007A0FD9"/>
    <w:rsid w:val="007C79CC"/>
    <w:rsid w:val="007D4BD1"/>
    <w:rsid w:val="007E2E85"/>
    <w:rsid w:val="007F0E5D"/>
    <w:rsid w:val="007F33E6"/>
    <w:rsid w:val="00802E92"/>
    <w:rsid w:val="00857139"/>
    <w:rsid w:val="008645A1"/>
    <w:rsid w:val="00873ABD"/>
    <w:rsid w:val="00881FF0"/>
    <w:rsid w:val="008A1094"/>
    <w:rsid w:val="008B46BE"/>
    <w:rsid w:val="008B600B"/>
    <w:rsid w:val="008C014F"/>
    <w:rsid w:val="008C5487"/>
    <w:rsid w:val="008C6C7E"/>
    <w:rsid w:val="008E225B"/>
    <w:rsid w:val="00910A43"/>
    <w:rsid w:val="00911D9C"/>
    <w:rsid w:val="00913C0B"/>
    <w:rsid w:val="00920A0C"/>
    <w:rsid w:val="00934683"/>
    <w:rsid w:val="00935DBA"/>
    <w:rsid w:val="009546D1"/>
    <w:rsid w:val="00973758"/>
    <w:rsid w:val="009771E8"/>
    <w:rsid w:val="00994CBE"/>
    <w:rsid w:val="00996462"/>
    <w:rsid w:val="009A4560"/>
    <w:rsid w:val="009F7785"/>
    <w:rsid w:val="00A03281"/>
    <w:rsid w:val="00A1570E"/>
    <w:rsid w:val="00A26F6C"/>
    <w:rsid w:val="00A30842"/>
    <w:rsid w:val="00A45375"/>
    <w:rsid w:val="00A4553A"/>
    <w:rsid w:val="00A50AC3"/>
    <w:rsid w:val="00A57A7A"/>
    <w:rsid w:val="00A94926"/>
    <w:rsid w:val="00AC5F4F"/>
    <w:rsid w:val="00AD52E9"/>
    <w:rsid w:val="00AD66A5"/>
    <w:rsid w:val="00AE4B4D"/>
    <w:rsid w:val="00AF3CC3"/>
    <w:rsid w:val="00AF6879"/>
    <w:rsid w:val="00B0084E"/>
    <w:rsid w:val="00B3151F"/>
    <w:rsid w:val="00B32263"/>
    <w:rsid w:val="00B418C7"/>
    <w:rsid w:val="00B42F29"/>
    <w:rsid w:val="00B51C2B"/>
    <w:rsid w:val="00B61B59"/>
    <w:rsid w:val="00B672BF"/>
    <w:rsid w:val="00B7535C"/>
    <w:rsid w:val="00B85FF9"/>
    <w:rsid w:val="00B86319"/>
    <w:rsid w:val="00BA3E4B"/>
    <w:rsid w:val="00BA56AE"/>
    <w:rsid w:val="00BB49EE"/>
    <w:rsid w:val="00BC6AF2"/>
    <w:rsid w:val="00BD5741"/>
    <w:rsid w:val="00BF5BCB"/>
    <w:rsid w:val="00BF67BD"/>
    <w:rsid w:val="00C03E44"/>
    <w:rsid w:val="00C04673"/>
    <w:rsid w:val="00C2065C"/>
    <w:rsid w:val="00C44C42"/>
    <w:rsid w:val="00C677A5"/>
    <w:rsid w:val="00C709D9"/>
    <w:rsid w:val="00C744B3"/>
    <w:rsid w:val="00C8012C"/>
    <w:rsid w:val="00C9636D"/>
    <w:rsid w:val="00CA0E25"/>
    <w:rsid w:val="00CA0E4D"/>
    <w:rsid w:val="00CC2929"/>
    <w:rsid w:val="00CC3A24"/>
    <w:rsid w:val="00CD4AC4"/>
    <w:rsid w:val="00CE264A"/>
    <w:rsid w:val="00CF3FA3"/>
    <w:rsid w:val="00D1792D"/>
    <w:rsid w:val="00D30D38"/>
    <w:rsid w:val="00D31EF0"/>
    <w:rsid w:val="00D343D9"/>
    <w:rsid w:val="00D34E01"/>
    <w:rsid w:val="00D373C9"/>
    <w:rsid w:val="00D462F9"/>
    <w:rsid w:val="00D52ED5"/>
    <w:rsid w:val="00D63093"/>
    <w:rsid w:val="00D6588D"/>
    <w:rsid w:val="00D72108"/>
    <w:rsid w:val="00DB09DB"/>
    <w:rsid w:val="00DB2BC1"/>
    <w:rsid w:val="00DC0309"/>
    <w:rsid w:val="00DC1B0F"/>
    <w:rsid w:val="00DC375C"/>
    <w:rsid w:val="00DC5CBD"/>
    <w:rsid w:val="00DF0E6D"/>
    <w:rsid w:val="00DF1B17"/>
    <w:rsid w:val="00DF66DF"/>
    <w:rsid w:val="00E03545"/>
    <w:rsid w:val="00E04027"/>
    <w:rsid w:val="00E07050"/>
    <w:rsid w:val="00E30061"/>
    <w:rsid w:val="00E32221"/>
    <w:rsid w:val="00E35052"/>
    <w:rsid w:val="00E45560"/>
    <w:rsid w:val="00E758B2"/>
    <w:rsid w:val="00EA50D3"/>
    <w:rsid w:val="00EA7996"/>
    <w:rsid w:val="00EB1E83"/>
    <w:rsid w:val="00EB25A0"/>
    <w:rsid w:val="00EC11F2"/>
    <w:rsid w:val="00EE26E7"/>
    <w:rsid w:val="00EF6BF8"/>
    <w:rsid w:val="00F03EB8"/>
    <w:rsid w:val="00F11BF9"/>
    <w:rsid w:val="00F21FA5"/>
    <w:rsid w:val="00F23558"/>
    <w:rsid w:val="00F405F8"/>
    <w:rsid w:val="00F47814"/>
    <w:rsid w:val="00F64161"/>
    <w:rsid w:val="00F64FAB"/>
    <w:rsid w:val="00F6536F"/>
    <w:rsid w:val="00F82C6B"/>
    <w:rsid w:val="00F84859"/>
    <w:rsid w:val="00F8779E"/>
    <w:rsid w:val="00F928DA"/>
    <w:rsid w:val="00F97C21"/>
    <w:rsid w:val="00FA0445"/>
    <w:rsid w:val="00FA257F"/>
    <w:rsid w:val="00FA65A1"/>
    <w:rsid w:val="00FB181B"/>
    <w:rsid w:val="00FB7348"/>
    <w:rsid w:val="00FC1EE2"/>
    <w:rsid w:val="00FE0083"/>
    <w:rsid w:val="00FE58B4"/>
    <w:rsid w:val="00FF17E2"/>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4B"/>
  </w:style>
  <w:style w:type="paragraph" w:styleId="Overskrift1">
    <w:name w:val="heading 1"/>
    <w:basedOn w:val="Normal"/>
    <w:next w:val="Normal"/>
    <w:link w:val="Overskrift1Tegn"/>
    <w:uiPriority w:val="9"/>
    <w:qFormat/>
    <w:rsid w:val="00BA3E4B"/>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A3E4B"/>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A3E4B"/>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A3E4B"/>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A3E4B"/>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A3E4B"/>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A3E4B"/>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A3E4B"/>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A3E4B"/>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aliases w:val="Body Text Char2 Char,Body Text Char1 Char Char,Body Text Char Char Char Char,Body Text Char1 Char Char Char Char,Body Text Char Char Char Char Char Char,Body Text Char1 Char Char Char Char Char Char,Body Text Char Char1 Char,Body Text Char1 Ch"/>
    <w:basedOn w:val="Normal"/>
    <w:link w:val="BrdtekstTegn"/>
    <w:unhideWhenUsed/>
    <w:rsid w:val="00BA3E4B"/>
    <w:pPr>
      <w:spacing w:after="120"/>
    </w:pPr>
  </w:style>
  <w:style w:type="character" w:customStyle="1" w:styleId="BrdtekstTegn">
    <w:name w:val="Brødtekst Tegn"/>
    <w:aliases w:val="Body Text Char2 Char Tegn,Body Text Char1 Char Char Tegn,Body Text Char Char Char Char Tegn,Body Text Char1 Char Char Char Char Tegn,Body Text Char Char Char Char Char Char Tegn,Body Text Char1 Char Char Char Char Char Char Tegn"/>
    <w:basedOn w:val="Standardskrifttypeiafsnit"/>
    <w:link w:val="Brdtekst"/>
    <w:rsid w:val="00BA3E4B"/>
  </w:style>
  <w:style w:type="paragraph" w:styleId="Billedtekst">
    <w:name w:val="caption"/>
    <w:basedOn w:val="Normal"/>
    <w:next w:val="Normal"/>
    <w:unhideWhenUsed/>
    <w:qFormat/>
    <w:rsid w:val="00BA3E4B"/>
    <w:pPr>
      <w:spacing w:line="240" w:lineRule="auto"/>
    </w:pPr>
    <w:rPr>
      <w:b/>
      <w:bCs/>
      <w:color w:val="4F81BD" w:themeColor="accent1"/>
      <w:sz w:val="18"/>
      <w:szCs w:val="18"/>
    </w:rPr>
  </w:style>
  <w:style w:type="paragraph" w:customStyle="1" w:styleId="FrontPage1">
    <w:name w:val="FrontPage1"/>
    <w:basedOn w:val="Normal"/>
    <w:next w:val="Brdtekst"/>
    <w:rsid w:val="00BA3E4B"/>
    <w:pPr>
      <w:suppressAutoHyphens/>
      <w:spacing w:after="160" w:line="320" w:lineRule="exact"/>
    </w:pPr>
    <w:rPr>
      <w:rFonts w:ascii="Arial" w:eastAsia="Times New Roman" w:hAnsi="Arial" w:cs="Arial"/>
      <w:sz w:val="28"/>
      <w:szCs w:val="20"/>
      <w:lang w:eastAsia="da-DK"/>
    </w:rPr>
  </w:style>
  <w:style w:type="paragraph" w:customStyle="1" w:styleId="FrontPage2">
    <w:name w:val="FrontPage2"/>
    <w:basedOn w:val="FrontPage1"/>
    <w:next w:val="Brdtekst"/>
    <w:rsid w:val="00BA3E4B"/>
    <w:pPr>
      <w:spacing w:line="400" w:lineRule="exact"/>
    </w:pPr>
    <w:rPr>
      <w:rFonts w:ascii="Arial Black" w:hAnsi="Arial Black"/>
      <w:sz w:val="36"/>
    </w:rPr>
  </w:style>
  <w:style w:type="paragraph" w:customStyle="1" w:styleId="FrontPage3">
    <w:name w:val="FrontPage3"/>
    <w:basedOn w:val="FrontPage1"/>
    <w:next w:val="Bloktekst"/>
    <w:rsid w:val="00BA3E4B"/>
    <w:pPr>
      <w:spacing w:before="160" w:after="0"/>
    </w:pPr>
    <w:rPr>
      <w:sz w:val="20"/>
    </w:rPr>
  </w:style>
  <w:style w:type="paragraph" w:styleId="Bloktekst">
    <w:name w:val="Block Text"/>
    <w:basedOn w:val="Normal"/>
    <w:uiPriority w:val="99"/>
    <w:unhideWhenUsed/>
    <w:rsid w:val="00BA3E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character" w:customStyle="1" w:styleId="Overskrift1Tegn">
    <w:name w:val="Overskrift 1 Tegn"/>
    <w:basedOn w:val="Standardskrifttypeiafsnit"/>
    <w:link w:val="Overskrift1"/>
    <w:uiPriority w:val="9"/>
    <w:rsid w:val="00BA3E4B"/>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BA3E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3E4B"/>
    <w:rPr>
      <w:rFonts w:ascii="Tahoma" w:hAnsi="Tahoma" w:cs="Tahoma"/>
      <w:sz w:val="16"/>
      <w:szCs w:val="16"/>
    </w:rPr>
  </w:style>
  <w:style w:type="character" w:customStyle="1" w:styleId="Overskrift2Tegn">
    <w:name w:val="Overskrift 2 Tegn"/>
    <w:basedOn w:val="Standardskrifttypeiafsnit"/>
    <w:link w:val="Overskrift2"/>
    <w:uiPriority w:val="9"/>
    <w:rsid w:val="00BA3E4B"/>
    <w:rPr>
      <w:rFonts w:asciiTheme="majorHAnsi" w:eastAsiaTheme="majorEastAsia" w:hAnsiTheme="majorHAnsi" w:cstheme="majorBidi"/>
      <w:b/>
      <w:bCs/>
      <w:color w:val="4F81BD" w:themeColor="accent1"/>
      <w:sz w:val="26"/>
      <w:szCs w:val="26"/>
    </w:rPr>
  </w:style>
  <w:style w:type="paragraph" w:customStyle="1" w:styleId="ListContinue0NoSpace">
    <w:name w:val="List Continue 0 NoSpace"/>
    <w:basedOn w:val="Normal"/>
    <w:rsid w:val="00BA3E4B"/>
    <w:pPr>
      <w:spacing w:after="0" w:line="270" w:lineRule="atLeast"/>
    </w:pPr>
    <w:rPr>
      <w:rFonts w:ascii="Times New Roman" w:eastAsia="Times New Roman" w:hAnsi="Times New Roman" w:cs="Times New Roman"/>
      <w:sz w:val="23"/>
      <w:szCs w:val="20"/>
      <w:lang w:eastAsia="da-DK"/>
    </w:rPr>
  </w:style>
  <w:style w:type="character" w:customStyle="1" w:styleId="Overskrift3Tegn">
    <w:name w:val="Overskrift 3 Tegn"/>
    <w:basedOn w:val="Standardskrifttypeiafsnit"/>
    <w:link w:val="Overskrift3"/>
    <w:uiPriority w:val="9"/>
    <w:rsid w:val="00BA3E4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BA3E4B"/>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BA3E4B"/>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BA3E4B"/>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BA3E4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BA3E4B"/>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BA3E4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BA3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verskrift">
    <w:name w:val="TOC Heading"/>
    <w:basedOn w:val="Overskrift1"/>
    <w:next w:val="Normal"/>
    <w:uiPriority w:val="39"/>
    <w:semiHidden/>
    <w:unhideWhenUsed/>
    <w:qFormat/>
    <w:rsid w:val="00BA3E4B"/>
    <w:pPr>
      <w:numPr>
        <w:numId w:val="0"/>
      </w:numPr>
      <w:outlineLvl w:val="9"/>
    </w:pPr>
    <w:rPr>
      <w:lang w:val="en-US" w:eastAsia="en-US"/>
    </w:rPr>
  </w:style>
  <w:style w:type="paragraph" w:styleId="Indholdsfortegnelse1">
    <w:name w:val="toc 1"/>
    <w:basedOn w:val="Normal"/>
    <w:next w:val="Normal"/>
    <w:autoRedefine/>
    <w:uiPriority w:val="39"/>
    <w:unhideWhenUsed/>
    <w:rsid w:val="00BA3E4B"/>
    <w:pPr>
      <w:spacing w:after="100"/>
    </w:pPr>
  </w:style>
  <w:style w:type="paragraph" w:styleId="Indholdsfortegnelse2">
    <w:name w:val="toc 2"/>
    <w:basedOn w:val="Normal"/>
    <w:next w:val="Normal"/>
    <w:autoRedefine/>
    <w:uiPriority w:val="39"/>
    <w:unhideWhenUsed/>
    <w:rsid w:val="00BA3E4B"/>
    <w:pPr>
      <w:spacing w:after="100"/>
      <w:ind w:left="220"/>
    </w:pPr>
  </w:style>
  <w:style w:type="paragraph" w:styleId="Indholdsfortegnelse3">
    <w:name w:val="toc 3"/>
    <w:basedOn w:val="Normal"/>
    <w:next w:val="Normal"/>
    <w:autoRedefine/>
    <w:uiPriority w:val="39"/>
    <w:unhideWhenUsed/>
    <w:rsid w:val="00BA3E4B"/>
    <w:pPr>
      <w:spacing w:after="100"/>
      <w:ind w:left="440"/>
    </w:pPr>
  </w:style>
  <w:style w:type="character" w:styleId="Hyperlink">
    <w:name w:val="Hyperlink"/>
    <w:basedOn w:val="Standardskrifttypeiafsnit"/>
    <w:uiPriority w:val="99"/>
    <w:unhideWhenUsed/>
    <w:rsid w:val="00BA3E4B"/>
    <w:rPr>
      <w:color w:val="0000FF" w:themeColor="hyperlink"/>
      <w:u w:val="single"/>
    </w:rPr>
  </w:style>
  <w:style w:type="paragraph" w:styleId="Sidehoved">
    <w:name w:val="header"/>
    <w:basedOn w:val="Normal"/>
    <w:link w:val="SidehovedTegn"/>
    <w:uiPriority w:val="99"/>
    <w:unhideWhenUsed/>
    <w:rsid w:val="006B7F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7FC5"/>
  </w:style>
  <w:style w:type="paragraph" w:styleId="Sidefod">
    <w:name w:val="footer"/>
    <w:basedOn w:val="Normal"/>
    <w:link w:val="SidefodTegn"/>
    <w:uiPriority w:val="99"/>
    <w:unhideWhenUsed/>
    <w:rsid w:val="006B7F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7FC5"/>
  </w:style>
  <w:style w:type="paragraph" w:styleId="Ingenafstand">
    <w:name w:val="No Spacing"/>
    <w:link w:val="IngenafstandTegn"/>
    <w:uiPriority w:val="1"/>
    <w:qFormat/>
    <w:rsid w:val="006B7FC5"/>
    <w:pPr>
      <w:spacing w:after="0" w:line="240" w:lineRule="auto"/>
    </w:pPr>
    <w:rPr>
      <w:lang w:eastAsia="en-US"/>
    </w:rPr>
  </w:style>
  <w:style w:type="character" w:customStyle="1" w:styleId="IngenafstandTegn">
    <w:name w:val="Ingen afstand Tegn"/>
    <w:basedOn w:val="Standardskrifttypeiafsnit"/>
    <w:link w:val="Ingenafstand"/>
    <w:uiPriority w:val="1"/>
    <w:rsid w:val="006B7FC5"/>
    <w:rPr>
      <w:lang w:eastAsia="en-US"/>
    </w:rPr>
  </w:style>
  <w:style w:type="character" w:styleId="Kommentarhenvisning">
    <w:name w:val="annotation reference"/>
    <w:basedOn w:val="Standardskrifttypeiafsnit"/>
    <w:semiHidden/>
    <w:unhideWhenUsed/>
    <w:rsid w:val="003979E1"/>
    <w:rPr>
      <w:sz w:val="16"/>
      <w:szCs w:val="16"/>
    </w:rPr>
  </w:style>
  <w:style w:type="paragraph" w:styleId="Kommentartekst">
    <w:name w:val="annotation text"/>
    <w:basedOn w:val="Normal"/>
    <w:link w:val="KommentartekstTegn"/>
    <w:semiHidden/>
    <w:unhideWhenUsed/>
    <w:rsid w:val="003979E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979E1"/>
    <w:rPr>
      <w:sz w:val="20"/>
      <w:szCs w:val="20"/>
    </w:rPr>
  </w:style>
  <w:style w:type="paragraph" w:styleId="Kommentaremne">
    <w:name w:val="annotation subject"/>
    <w:basedOn w:val="Kommentartekst"/>
    <w:next w:val="Kommentartekst"/>
    <w:link w:val="KommentaremneTegn"/>
    <w:uiPriority w:val="99"/>
    <w:semiHidden/>
    <w:unhideWhenUsed/>
    <w:rsid w:val="003979E1"/>
    <w:rPr>
      <w:b/>
      <w:bCs/>
    </w:rPr>
  </w:style>
  <w:style w:type="character" w:customStyle="1" w:styleId="KommentaremneTegn">
    <w:name w:val="Kommentaremne Tegn"/>
    <w:basedOn w:val="KommentartekstTegn"/>
    <w:link w:val="Kommentaremne"/>
    <w:uiPriority w:val="99"/>
    <w:semiHidden/>
    <w:rsid w:val="003979E1"/>
    <w:rPr>
      <w:b/>
      <w:bCs/>
    </w:rPr>
  </w:style>
  <w:style w:type="paragraph" w:styleId="Listeafsnit">
    <w:name w:val="List Paragraph"/>
    <w:basedOn w:val="Normal"/>
    <w:uiPriority w:val="34"/>
    <w:qFormat/>
    <w:rsid w:val="006C0819"/>
    <w:pPr>
      <w:ind w:left="720"/>
      <w:contextualSpacing/>
    </w:pPr>
  </w:style>
</w:styles>
</file>

<file path=word/webSettings.xml><?xml version="1.0" encoding="utf-8"?>
<w:webSettings xmlns:r="http://schemas.openxmlformats.org/officeDocument/2006/relationships" xmlns:w="http://schemas.openxmlformats.org/wordprocessingml/2006/main">
  <w:divs>
    <w:div w:id="48841833">
      <w:bodyDiv w:val="1"/>
      <w:marLeft w:val="0"/>
      <w:marRight w:val="0"/>
      <w:marTop w:val="0"/>
      <w:marBottom w:val="0"/>
      <w:divBdr>
        <w:top w:val="none" w:sz="0" w:space="0" w:color="auto"/>
        <w:left w:val="none" w:sz="0" w:space="0" w:color="auto"/>
        <w:bottom w:val="none" w:sz="0" w:space="0" w:color="auto"/>
        <w:right w:val="none" w:sz="0" w:space="0" w:color="auto"/>
      </w:divBdr>
    </w:div>
    <w:div w:id="85269631">
      <w:bodyDiv w:val="1"/>
      <w:marLeft w:val="0"/>
      <w:marRight w:val="0"/>
      <w:marTop w:val="0"/>
      <w:marBottom w:val="0"/>
      <w:divBdr>
        <w:top w:val="none" w:sz="0" w:space="0" w:color="auto"/>
        <w:left w:val="none" w:sz="0" w:space="0" w:color="auto"/>
        <w:bottom w:val="none" w:sz="0" w:space="0" w:color="auto"/>
        <w:right w:val="none" w:sz="0" w:space="0" w:color="auto"/>
      </w:divBdr>
    </w:div>
    <w:div w:id="102579722">
      <w:bodyDiv w:val="1"/>
      <w:marLeft w:val="0"/>
      <w:marRight w:val="0"/>
      <w:marTop w:val="0"/>
      <w:marBottom w:val="0"/>
      <w:divBdr>
        <w:top w:val="none" w:sz="0" w:space="0" w:color="auto"/>
        <w:left w:val="none" w:sz="0" w:space="0" w:color="auto"/>
        <w:bottom w:val="none" w:sz="0" w:space="0" w:color="auto"/>
        <w:right w:val="none" w:sz="0" w:space="0" w:color="auto"/>
      </w:divBdr>
    </w:div>
    <w:div w:id="201984933">
      <w:bodyDiv w:val="1"/>
      <w:marLeft w:val="0"/>
      <w:marRight w:val="0"/>
      <w:marTop w:val="0"/>
      <w:marBottom w:val="0"/>
      <w:divBdr>
        <w:top w:val="none" w:sz="0" w:space="0" w:color="auto"/>
        <w:left w:val="none" w:sz="0" w:space="0" w:color="auto"/>
        <w:bottom w:val="none" w:sz="0" w:space="0" w:color="auto"/>
        <w:right w:val="none" w:sz="0" w:space="0" w:color="auto"/>
      </w:divBdr>
    </w:div>
    <w:div w:id="213783285">
      <w:bodyDiv w:val="1"/>
      <w:marLeft w:val="0"/>
      <w:marRight w:val="0"/>
      <w:marTop w:val="0"/>
      <w:marBottom w:val="0"/>
      <w:divBdr>
        <w:top w:val="none" w:sz="0" w:space="0" w:color="auto"/>
        <w:left w:val="none" w:sz="0" w:space="0" w:color="auto"/>
        <w:bottom w:val="none" w:sz="0" w:space="0" w:color="auto"/>
        <w:right w:val="none" w:sz="0" w:space="0" w:color="auto"/>
      </w:divBdr>
    </w:div>
    <w:div w:id="302276788">
      <w:bodyDiv w:val="1"/>
      <w:marLeft w:val="0"/>
      <w:marRight w:val="0"/>
      <w:marTop w:val="0"/>
      <w:marBottom w:val="0"/>
      <w:divBdr>
        <w:top w:val="none" w:sz="0" w:space="0" w:color="auto"/>
        <w:left w:val="none" w:sz="0" w:space="0" w:color="auto"/>
        <w:bottom w:val="none" w:sz="0" w:space="0" w:color="auto"/>
        <w:right w:val="none" w:sz="0" w:space="0" w:color="auto"/>
      </w:divBdr>
    </w:div>
    <w:div w:id="402336739">
      <w:bodyDiv w:val="1"/>
      <w:marLeft w:val="0"/>
      <w:marRight w:val="0"/>
      <w:marTop w:val="0"/>
      <w:marBottom w:val="0"/>
      <w:divBdr>
        <w:top w:val="none" w:sz="0" w:space="0" w:color="auto"/>
        <w:left w:val="none" w:sz="0" w:space="0" w:color="auto"/>
        <w:bottom w:val="none" w:sz="0" w:space="0" w:color="auto"/>
        <w:right w:val="none" w:sz="0" w:space="0" w:color="auto"/>
      </w:divBdr>
    </w:div>
    <w:div w:id="418674479">
      <w:bodyDiv w:val="1"/>
      <w:marLeft w:val="0"/>
      <w:marRight w:val="0"/>
      <w:marTop w:val="0"/>
      <w:marBottom w:val="0"/>
      <w:divBdr>
        <w:top w:val="none" w:sz="0" w:space="0" w:color="auto"/>
        <w:left w:val="none" w:sz="0" w:space="0" w:color="auto"/>
        <w:bottom w:val="none" w:sz="0" w:space="0" w:color="auto"/>
        <w:right w:val="none" w:sz="0" w:space="0" w:color="auto"/>
      </w:divBdr>
    </w:div>
    <w:div w:id="621611711">
      <w:bodyDiv w:val="1"/>
      <w:marLeft w:val="0"/>
      <w:marRight w:val="0"/>
      <w:marTop w:val="0"/>
      <w:marBottom w:val="0"/>
      <w:divBdr>
        <w:top w:val="none" w:sz="0" w:space="0" w:color="auto"/>
        <w:left w:val="none" w:sz="0" w:space="0" w:color="auto"/>
        <w:bottom w:val="none" w:sz="0" w:space="0" w:color="auto"/>
        <w:right w:val="none" w:sz="0" w:space="0" w:color="auto"/>
      </w:divBdr>
    </w:div>
    <w:div w:id="630793924">
      <w:bodyDiv w:val="1"/>
      <w:marLeft w:val="0"/>
      <w:marRight w:val="0"/>
      <w:marTop w:val="0"/>
      <w:marBottom w:val="0"/>
      <w:divBdr>
        <w:top w:val="none" w:sz="0" w:space="0" w:color="auto"/>
        <w:left w:val="none" w:sz="0" w:space="0" w:color="auto"/>
        <w:bottom w:val="none" w:sz="0" w:space="0" w:color="auto"/>
        <w:right w:val="none" w:sz="0" w:space="0" w:color="auto"/>
      </w:divBdr>
    </w:div>
    <w:div w:id="690690539">
      <w:bodyDiv w:val="1"/>
      <w:marLeft w:val="0"/>
      <w:marRight w:val="0"/>
      <w:marTop w:val="0"/>
      <w:marBottom w:val="0"/>
      <w:divBdr>
        <w:top w:val="none" w:sz="0" w:space="0" w:color="auto"/>
        <w:left w:val="none" w:sz="0" w:space="0" w:color="auto"/>
        <w:bottom w:val="none" w:sz="0" w:space="0" w:color="auto"/>
        <w:right w:val="none" w:sz="0" w:space="0" w:color="auto"/>
      </w:divBdr>
    </w:div>
    <w:div w:id="785277634">
      <w:bodyDiv w:val="1"/>
      <w:marLeft w:val="0"/>
      <w:marRight w:val="0"/>
      <w:marTop w:val="0"/>
      <w:marBottom w:val="0"/>
      <w:divBdr>
        <w:top w:val="none" w:sz="0" w:space="0" w:color="auto"/>
        <w:left w:val="none" w:sz="0" w:space="0" w:color="auto"/>
        <w:bottom w:val="none" w:sz="0" w:space="0" w:color="auto"/>
        <w:right w:val="none" w:sz="0" w:space="0" w:color="auto"/>
      </w:divBdr>
    </w:div>
    <w:div w:id="894973139">
      <w:bodyDiv w:val="1"/>
      <w:marLeft w:val="0"/>
      <w:marRight w:val="0"/>
      <w:marTop w:val="0"/>
      <w:marBottom w:val="0"/>
      <w:divBdr>
        <w:top w:val="none" w:sz="0" w:space="0" w:color="auto"/>
        <w:left w:val="none" w:sz="0" w:space="0" w:color="auto"/>
        <w:bottom w:val="none" w:sz="0" w:space="0" w:color="auto"/>
        <w:right w:val="none" w:sz="0" w:space="0" w:color="auto"/>
      </w:divBdr>
    </w:div>
    <w:div w:id="923799199">
      <w:bodyDiv w:val="1"/>
      <w:marLeft w:val="0"/>
      <w:marRight w:val="0"/>
      <w:marTop w:val="0"/>
      <w:marBottom w:val="0"/>
      <w:divBdr>
        <w:top w:val="none" w:sz="0" w:space="0" w:color="auto"/>
        <w:left w:val="none" w:sz="0" w:space="0" w:color="auto"/>
        <w:bottom w:val="none" w:sz="0" w:space="0" w:color="auto"/>
        <w:right w:val="none" w:sz="0" w:space="0" w:color="auto"/>
      </w:divBdr>
    </w:div>
    <w:div w:id="1029796763">
      <w:bodyDiv w:val="1"/>
      <w:marLeft w:val="0"/>
      <w:marRight w:val="0"/>
      <w:marTop w:val="0"/>
      <w:marBottom w:val="0"/>
      <w:divBdr>
        <w:top w:val="none" w:sz="0" w:space="0" w:color="auto"/>
        <w:left w:val="none" w:sz="0" w:space="0" w:color="auto"/>
        <w:bottom w:val="none" w:sz="0" w:space="0" w:color="auto"/>
        <w:right w:val="none" w:sz="0" w:space="0" w:color="auto"/>
      </w:divBdr>
    </w:div>
    <w:div w:id="1038356857">
      <w:bodyDiv w:val="1"/>
      <w:marLeft w:val="0"/>
      <w:marRight w:val="0"/>
      <w:marTop w:val="0"/>
      <w:marBottom w:val="0"/>
      <w:divBdr>
        <w:top w:val="none" w:sz="0" w:space="0" w:color="auto"/>
        <w:left w:val="none" w:sz="0" w:space="0" w:color="auto"/>
        <w:bottom w:val="none" w:sz="0" w:space="0" w:color="auto"/>
        <w:right w:val="none" w:sz="0" w:space="0" w:color="auto"/>
      </w:divBdr>
    </w:div>
    <w:div w:id="1114011900">
      <w:bodyDiv w:val="1"/>
      <w:marLeft w:val="0"/>
      <w:marRight w:val="0"/>
      <w:marTop w:val="0"/>
      <w:marBottom w:val="0"/>
      <w:divBdr>
        <w:top w:val="none" w:sz="0" w:space="0" w:color="auto"/>
        <w:left w:val="none" w:sz="0" w:space="0" w:color="auto"/>
        <w:bottom w:val="none" w:sz="0" w:space="0" w:color="auto"/>
        <w:right w:val="none" w:sz="0" w:space="0" w:color="auto"/>
      </w:divBdr>
    </w:div>
    <w:div w:id="1258442484">
      <w:bodyDiv w:val="1"/>
      <w:marLeft w:val="0"/>
      <w:marRight w:val="0"/>
      <w:marTop w:val="0"/>
      <w:marBottom w:val="0"/>
      <w:divBdr>
        <w:top w:val="none" w:sz="0" w:space="0" w:color="auto"/>
        <w:left w:val="none" w:sz="0" w:space="0" w:color="auto"/>
        <w:bottom w:val="none" w:sz="0" w:space="0" w:color="auto"/>
        <w:right w:val="none" w:sz="0" w:space="0" w:color="auto"/>
      </w:divBdr>
    </w:div>
    <w:div w:id="1385064869">
      <w:bodyDiv w:val="1"/>
      <w:marLeft w:val="0"/>
      <w:marRight w:val="0"/>
      <w:marTop w:val="0"/>
      <w:marBottom w:val="0"/>
      <w:divBdr>
        <w:top w:val="none" w:sz="0" w:space="0" w:color="auto"/>
        <w:left w:val="none" w:sz="0" w:space="0" w:color="auto"/>
        <w:bottom w:val="none" w:sz="0" w:space="0" w:color="auto"/>
        <w:right w:val="none" w:sz="0" w:space="0" w:color="auto"/>
      </w:divBdr>
    </w:div>
    <w:div w:id="1716812745">
      <w:bodyDiv w:val="1"/>
      <w:marLeft w:val="0"/>
      <w:marRight w:val="0"/>
      <w:marTop w:val="0"/>
      <w:marBottom w:val="0"/>
      <w:divBdr>
        <w:top w:val="none" w:sz="0" w:space="0" w:color="auto"/>
        <w:left w:val="none" w:sz="0" w:space="0" w:color="auto"/>
        <w:bottom w:val="none" w:sz="0" w:space="0" w:color="auto"/>
        <w:right w:val="none" w:sz="0" w:space="0" w:color="auto"/>
      </w:divBdr>
    </w:div>
    <w:div w:id="18164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AD02sfil168.ad02.aarhus.pri\NM$\Funktioner\05%20Klima\Klima\CO2%20Kortl&#230;gninger\Kortl&#230;gning_2010\CO2%20egenregistrering%20&#197;rhus%20Kommune_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02sfil168.ad02.aarhus.pri\NM$\Funktioner\05%20Klima\Klima\CO2%20Kortl&#230;gninger\Kortl&#230;gning_2010\CO2%20egenregistrering%20&#197;rhus%20Kommune_2010_04.07.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02sfil168.ad02.aarhus.pri\NM$\Funktioner\05%20Klima\Klima\CO2%20Kortl&#230;gninger\Kortl&#230;gning_2010\Grafer%20til%20CO2-opg&#248;relse%20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D02sfil168.ad02.aarhus.pri\NM$\Funktioner\05%20Klima\Klima\CO2%20Kortl&#230;gninger\Udvikling_2008-2010%20pr.%20Magaf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D02sfil168.ad02.aarhus.pri\NM$\Funktioner\05%20Klima\Klima\CO2%20Kortl&#230;gninger\Kortl&#230;gning_2010\CO2%20egenregistrering%20&#197;rhus%20Kommune_2010_04.07.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D02sfil168.ad02.aarhus.pri\NM$\Funktioner\05%20Klima\Klima\CO2%20Kortl&#230;gninger\Kortl&#230;gning_2010\Grafer%20til%20CO2-opg&#248;relse%2020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D02sfil168.ad02.aarhus.pri\NM$\Funktioner\05%20Klima\Klima\CO2%20Kortl&#230;gninger\Kortl&#230;gning_2010\CO2%20egenregistrering%20&#197;rhus%20Kommune_2010_04.07.20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D02sfil168.ad02.aarhus.pri\NM$\Funktioner\05%20Klima\Klima\CO2%20Kortl&#230;gninger\Kortl&#230;gning_2010\Grafer%20til%20CO2-opg&#248;relse%2020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D02sfil168.ad02.aarhus.pri\NM$\Funktioner\05%20Klima\Klima\CO2%20Kortl&#230;gninger\Kortl&#230;gning_2010\Grafer%20til%20CO2-opg&#248;relse%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da-DK"/>
              <a:t>Fordeling af CO</a:t>
            </a:r>
            <a:r>
              <a:rPr lang="da-DK" baseline="-25000"/>
              <a:t>2</a:t>
            </a:r>
            <a:r>
              <a:rPr lang="da-DK" baseline="0"/>
              <a:t>-udledningen 2010</a:t>
            </a:r>
            <a:endParaRPr lang="da-DK"/>
          </a:p>
        </c:rich>
      </c:tx>
      <c:layout>
        <c:manualLayout>
          <c:xMode val="edge"/>
          <c:yMode val="edge"/>
          <c:x val="0.1854143875240323"/>
          <c:y val="9.7087378640776708E-3"/>
        </c:manualLayout>
      </c:layout>
      <c:spPr>
        <a:noFill/>
        <a:ln w="25400">
          <a:noFill/>
        </a:ln>
      </c:spPr>
    </c:title>
    <c:plotArea>
      <c:layout/>
      <c:pieChart>
        <c:varyColors val="1"/>
        <c:ser>
          <c:idx val="1"/>
          <c:order val="0"/>
          <c:tx>
            <c:strRef>
              <c:f>'Egne grafer'!$C$5</c:f>
              <c:strCache>
                <c:ptCount val="1"/>
                <c:pt idx="0">
                  <c:v>Ton CO2</c:v>
                </c:pt>
              </c:strCache>
            </c:strRef>
          </c:tx>
          <c:dLbls>
            <c:dLbl>
              <c:idx val="0"/>
              <c:layout>
                <c:manualLayout>
                  <c:x val="0.22215151064950445"/>
                  <c:y val="1.4445588979869757E-2"/>
                </c:manualLayout>
              </c:layout>
              <c:showCatName val="1"/>
              <c:showPercent val="1"/>
            </c:dLbl>
            <c:dLbl>
              <c:idx val="1"/>
              <c:layout>
                <c:manualLayout>
                  <c:x val="9.5275230390369309E-2"/>
                  <c:y val="6.4280834075341547E-2"/>
                </c:manualLayout>
              </c:layout>
              <c:showCatName val="1"/>
              <c:showPercent val="1"/>
            </c:dLbl>
            <c:dLbl>
              <c:idx val="2"/>
              <c:layout>
                <c:manualLayout>
                  <c:x val="4.7385187486212593E-2"/>
                  <c:y val="-1.2490412090949818E-2"/>
                </c:manualLayout>
              </c:layout>
              <c:showCatName val="1"/>
              <c:showPercent val="1"/>
            </c:dLbl>
            <c:dLbl>
              <c:idx val="3"/>
              <c:layout>
                <c:manualLayout>
                  <c:x val="-2.8220400408782527E-3"/>
                  <c:y val="2.9345345135627456E-2"/>
                </c:manualLayout>
              </c:layout>
              <c:showCatName val="1"/>
              <c:showPercent val="1"/>
            </c:dLbl>
            <c:dLbl>
              <c:idx val="4"/>
              <c:layout>
                <c:manualLayout>
                  <c:x val="1.2380978106724654E-2"/>
                  <c:y val="-1.2963667789863303E-2"/>
                </c:manualLayout>
              </c:layout>
              <c:showCatName val="1"/>
              <c:showPercent val="1"/>
            </c:dLbl>
            <c:dLbl>
              <c:idx val="5"/>
              <c:layout>
                <c:manualLayout>
                  <c:x val="-6.9583969242266827E-2"/>
                  <c:y val="-8.3221304653991659E-3"/>
                </c:manualLayout>
              </c:layout>
              <c:showCatName val="1"/>
              <c:showPercent val="1"/>
            </c:dLbl>
            <c:dLbl>
              <c:idx val="6"/>
              <c:layout>
                <c:manualLayout>
                  <c:x val="-7.3625873952719899E-3"/>
                  <c:y val="2.4598122573924415E-2"/>
                </c:manualLayout>
              </c:layout>
              <c:showCatName val="1"/>
              <c:showPercent val="1"/>
            </c:dLbl>
            <c:dLbl>
              <c:idx val="7"/>
              <c:layout>
                <c:manualLayout>
                  <c:x val="-3.1726475871476624E-2"/>
                  <c:y val="-1.6318126531301103E-2"/>
                </c:manualLayout>
              </c:layout>
              <c:showCatName val="1"/>
              <c:showPercent val="1"/>
            </c:dLbl>
            <c:showCatName val="1"/>
            <c:showPercent val="1"/>
            <c:showLeaderLines val="1"/>
          </c:dLbls>
          <c:cat>
            <c:strRef>
              <c:f>'Egne grafer'!$B$6:$B$13</c:f>
              <c:strCache>
                <c:ptCount val="8"/>
                <c:pt idx="0">
                  <c:v>Borgmesterens afdeling</c:v>
                </c:pt>
                <c:pt idx="1">
                  <c:v>Børn og Unge</c:v>
                </c:pt>
                <c:pt idx="2">
                  <c:v>Kultur og Borgerservice</c:v>
                </c:pt>
                <c:pt idx="3">
                  <c:v>Social og Beskæftigelse</c:v>
                </c:pt>
                <c:pt idx="4">
                  <c:v>Sundhed og Omsorg</c:v>
                </c:pt>
                <c:pt idx="5">
                  <c:v>Teknik og Miljø</c:v>
                </c:pt>
                <c:pt idx="6">
                  <c:v>Århus Vand AS</c:v>
                </c:pt>
                <c:pt idx="7">
                  <c:v>Busselskabet Aarhus Sporveje (Midttrafik)</c:v>
                </c:pt>
              </c:strCache>
            </c:strRef>
          </c:cat>
          <c:val>
            <c:numRef>
              <c:f>'Egne grafer'!$C$6:$C$13</c:f>
              <c:numCache>
                <c:formatCode>0.0</c:formatCode>
                <c:ptCount val="8"/>
                <c:pt idx="0">
                  <c:v>149.76965883847038</c:v>
                </c:pt>
                <c:pt idx="1">
                  <c:v>21157.32566857721</c:v>
                </c:pt>
                <c:pt idx="2">
                  <c:v>11276.58884630347</c:v>
                </c:pt>
                <c:pt idx="3">
                  <c:v>7225.2585767379242</c:v>
                </c:pt>
                <c:pt idx="4">
                  <c:v>15637.419061020442</c:v>
                </c:pt>
                <c:pt idx="5">
                  <c:v>29133.712310467352</c:v>
                </c:pt>
                <c:pt idx="6">
                  <c:v>15301.368565999988</c:v>
                </c:pt>
                <c:pt idx="7">
                  <c:v>20144.183007000003</c:v>
                </c:pt>
              </c:numCache>
            </c:numRef>
          </c:val>
        </c:ser>
        <c:ser>
          <c:idx val="0"/>
          <c:order val="1"/>
          <c:tx>
            <c:strRef>
              <c:f>'Egne grafer'!$E$5</c:f>
              <c:strCache>
                <c:ptCount val="1"/>
                <c:pt idx="0">
                  <c:v>% af total</c:v>
                </c:pt>
              </c:strCache>
            </c:strRef>
          </c:tx>
          <c:dLbls>
            <c:showCatName val="1"/>
            <c:showPercent val="1"/>
            <c:showLeaderLines val="1"/>
          </c:dLbls>
          <c:cat>
            <c:strRef>
              <c:f>'Egne grafer'!$B$6:$B$13</c:f>
              <c:strCache>
                <c:ptCount val="8"/>
                <c:pt idx="0">
                  <c:v>Borgmesterens afdeling</c:v>
                </c:pt>
                <c:pt idx="1">
                  <c:v>Børn og Unge</c:v>
                </c:pt>
                <c:pt idx="2">
                  <c:v>Kultur og Borgerservice</c:v>
                </c:pt>
                <c:pt idx="3">
                  <c:v>Social og Beskæftigelse</c:v>
                </c:pt>
                <c:pt idx="4">
                  <c:v>Sundhed og Omsorg</c:v>
                </c:pt>
                <c:pt idx="5">
                  <c:v>Teknik og Miljø</c:v>
                </c:pt>
                <c:pt idx="6">
                  <c:v>Århus Vand AS</c:v>
                </c:pt>
                <c:pt idx="7">
                  <c:v>Busselskabet Aarhus Sporveje (Midttrafik)</c:v>
                </c:pt>
              </c:strCache>
            </c:strRef>
          </c:cat>
          <c:val>
            <c:numRef>
              <c:f>'Egne grafer'!$E$6:$E$13</c:f>
              <c:numCache>
                <c:formatCode>General</c:formatCode>
                <c:ptCount val="8"/>
                <c:pt idx="0">
                  <c:v>0.12478140228081173</c:v>
                </c:pt>
                <c:pt idx="1">
                  <c:v>17.627340450072175</c:v>
                </c:pt>
                <c:pt idx="2">
                  <c:v>9.3951510612940687</c:v>
                </c:pt>
                <c:pt idx="3">
                  <c:v>6.0197633087966782</c:v>
                </c:pt>
                <c:pt idx="4">
                  <c:v>13.028400369071388</c:v>
                </c:pt>
                <c:pt idx="5">
                  <c:v>24.272910173793289</c:v>
                </c:pt>
                <c:pt idx="6">
                  <c:v>12.748418079393886</c:v>
                </c:pt>
                <c:pt idx="7">
                  <c:v>16.783235155297692</c:v>
                </c:pt>
              </c:numCache>
            </c:numRef>
          </c:val>
        </c:ser>
        <c:dLbls>
          <c:showCatName val="1"/>
          <c:showPercent val="1"/>
        </c:dLbls>
        <c:firstSliceAng val="0"/>
      </c:pieChart>
      <c:spPr>
        <a:noFill/>
        <a:ln w="25400">
          <a:noFill/>
        </a:ln>
      </c:spPr>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en-US"/>
              <a:t>CO</a:t>
            </a:r>
            <a:r>
              <a:rPr lang="en-US" baseline="-25000"/>
              <a:t>2</a:t>
            </a:r>
            <a:r>
              <a:rPr lang="en-US" baseline="0"/>
              <a:t>-udledning </a:t>
            </a:r>
            <a:r>
              <a:rPr lang="en-US"/>
              <a:t>fordelt på kilder</a:t>
            </a:r>
            <a:r>
              <a:rPr lang="en-US" sz="1100"/>
              <a:t>  </a:t>
            </a:r>
            <a:endParaRPr lang="en-US" sz="1800" b="1" i="0" u="none" strike="noStrike" kern="1200" baseline="0">
              <a:solidFill>
                <a:sysClr val="windowText" lastClr="000000"/>
              </a:solidFill>
              <a:latin typeface="+mn-lt"/>
              <a:ea typeface="+mn-ea"/>
              <a:cs typeface="+mn-cs"/>
            </a:endParaRPr>
          </a:p>
        </c:rich>
      </c:tx>
      <c:layout/>
    </c:title>
    <c:plotArea>
      <c:layout/>
      <c:barChart>
        <c:barDir val="bar"/>
        <c:grouping val="clustered"/>
        <c:ser>
          <c:idx val="0"/>
          <c:order val="0"/>
          <c:cat>
            <c:strRef>
              <c:f>'Egne grafer'!$B$32:$B$36</c:f>
              <c:strCache>
                <c:ptCount val="5"/>
                <c:pt idx="0">
                  <c:v>Arealer</c:v>
                </c:pt>
                <c:pt idx="1">
                  <c:v>Øvrige</c:v>
                </c:pt>
                <c:pt idx="2">
                  <c:v>El</c:v>
                </c:pt>
                <c:pt idx="3">
                  <c:v>Opvarmning</c:v>
                </c:pt>
                <c:pt idx="4">
                  <c:v>Transport</c:v>
                </c:pt>
              </c:strCache>
            </c:strRef>
          </c:cat>
          <c:val>
            <c:numRef>
              <c:f>'Egne grafer'!$C$32:$C$36</c:f>
              <c:numCache>
                <c:formatCode>General</c:formatCode>
                <c:ptCount val="5"/>
                <c:pt idx="0" formatCode="#,##0.00">
                  <c:v>-15213.04049492468</c:v>
                </c:pt>
                <c:pt idx="1">
                  <c:v>1295.791712</c:v>
                </c:pt>
                <c:pt idx="2" formatCode="#,##0">
                  <c:v>78604.059775999995</c:v>
                </c:pt>
                <c:pt idx="3" formatCode="#,##0.00">
                  <c:v>29786.604942000002</c:v>
                </c:pt>
                <c:pt idx="4" formatCode="#,##0.00">
                  <c:v>25552.209759869569</c:v>
                </c:pt>
              </c:numCache>
            </c:numRef>
          </c:val>
        </c:ser>
        <c:axId val="8463488"/>
        <c:axId val="8465024"/>
      </c:barChart>
      <c:catAx>
        <c:axId val="8463488"/>
        <c:scaling>
          <c:orientation val="minMax"/>
        </c:scaling>
        <c:axPos val="l"/>
        <c:numFmt formatCode="General" sourceLinked="1"/>
        <c:tickLblPos val="nextTo"/>
        <c:crossAx val="8465024"/>
        <c:crosses val="autoZero"/>
        <c:auto val="1"/>
        <c:lblAlgn val="ctr"/>
        <c:lblOffset val="100"/>
      </c:catAx>
      <c:valAx>
        <c:axId val="8465024"/>
        <c:scaling>
          <c:orientation val="minMax"/>
        </c:scaling>
        <c:axPos val="b"/>
        <c:majorGridlines/>
        <c:numFmt formatCode="#,##0" sourceLinked="0"/>
        <c:tickLblPos val="nextTo"/>
        <c:crossAx val="846348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da-DK"/>
  <c:chart>
    <c:title>
      <c:tx>
        <c:rich>
          <a:bodyPr/>
          <a:lstStyle/>
          <a:p>
            <a:pPr>
              <a:defRPr/>
            </a:pPr>
            <a:r>
              <a:rPr lang="en-US"/>
              <a:t>Samlet CO</a:t>
            </a:r>
            <a:r>
              <a:rPr lang="en-US" sz="1200"/>
              <a:t>2</a:t>
            </a:r>
            <a:r>
              <a:rPr lang="en-US"/>
              <a:t>-udledning</a:t>
            </a:r>
          </a:p>
        </c:rich>
      </c:tx>
      <c:layout/>
    </c:title>
    <c:plotArea>
      <c:layout/>
      <c:barChart>
        <c:barDir val="col"/>
        <c:grouping val="clustered"/>
        <c:ser>
          <c:idx val="1"/>
          <c:order val="0"/>
          <c:tx>
            <c:v>Samlet Co2-udledning</c:v>
          </c:tx>
          <c:cat>
            <c:numRef>
              <c:f>'Ark1'!$C$4:$E$4</c:f>
              <c:numCache>
                <c:formatCode>General</c:formatCode>
                <c:ptCount val="3"/>
                <c:pt idx="0">
                  <c:v>2008</c:v>
                </c:pt>
                <c:pt idx="1">
                  <c:v>2009</c:v>
                </c:pt>
                <c:pt idx="2">
                  <c:v>2010</c:v>
                </c:pt>
              </c:numCache>
            </c:numRef>
          </c:cat>
          <c:val>
            <c:numRef>
              <c:f>'Ark1'!$C$5:$E$5</c:f>
              <c:numCache>
                <c:formatCode>_ * #,##0_ ;_ * \-#,##0_ ;_ * "-"??_ ;_ @_ </c:formatCode>
                <c:ptCount val="3"/>
                <c:pt idx="0">
                  <c:v>122240</c:v>
                </c:pt>
                <c:pt idx="1">
                  <c:v>122044</c:v>
                </c:pt>
                <c:pt idx="2">
                  <c:v>120025</c:v>
                </c:pt>
              </c:numCache>
            </c:numRef>
          </c:val>
        </c:ser>
        <c:axId val="8483968"/>
        <c:axId val="8485504"/>
      </c:barChart>
      <c:catAx>
        <c:axId val="8483968"/>
        <c:scaling>
          <c:orientation val="minMax"/>
        </c:scaling>
        <c:axPos val="b"/>
        <c:numFmt formatCode="General" sourceLinked="1"/>
        <c:tickLblPos val="nextTo"/>
        <c:crossAx val="8485504"/>
        <c:crosses val="autoZero"/>
        <c:auto val="1"/>
        <c:lblAlgn val="ctr"/>
        <c:lblOffset val="100"/>
      </c:catAx>
      <c:valAx>
        <c:axId val="8485504"/>
        <c:scaling>
          <c:orientation val="minMax"/>
          <c:min val="0"/>
        </c:scaling>
        <c:axPos val="l"/>
        <c:majorGridlines/>
        <c:title>
          <c:tx>
            <c:rich>
              <a:bodyPr rot="-5400000" vert="horz"/>
              <a:lstStyle/>
              <a:p>
                <a:pPr>
                  <a:defRPr/>
                </a:pPr>
                <a:r>
                  <a:rPr lang="en-US"/>
                  <a:t>Ton CO2</a:t>
                </a:r>
              </a:p>
            </c:rich>
          </c:tx>
          <c:layout/>
        </c:title>
        <c:numFmt formatCode="_ * #,##0_ ;_ * \-#,##0_ ;_ * &quot;-&quot;??_ ;_ @_ " sourceLinked="1"/>
        <c:tickLblPos val="nextTo"/>
        <c:crossAx val="848396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en-US"/>
              <a:t>CO</a:t>
            </a:r>
            <a:r>
              <a:rPr lang="en-US" sz="1100"/>
              <a:t>2-</a:t>
            </a:r>
            <a:r>
              <a:rPr lang="en-US" sz="1800"/>
              <a:t>udledning for</a:t>
            </a:r>
            <a:r>
              <a:rPr lang="en-US" sz="1800" baseline="0"/>
              <a:t> Magistratsafdelinger</a:t>
            </a:r>
            <a:r>
              <a:rPr lang="en-US" sz="1100"/>
              <a:t> </a:t>
            </a:r>
            <a:endParaRPr lang="en-US"/>
          </a:p>
        </c:rich>
      </c:tx>
      <c:layout/>
    </c:title>
    <c:plotArea>
      <c:layout/>
      <c:barChart>
        <c:barDir val="col"/>
        <c:grouping val="clustered"/>
        <c:ser>
          <c:idx val="3"/>
          <c:order val="0"/>
          <c:tx>
            <c:strRef>
              <c:f>'Samlet diagram'!$D$2</c:f>
              <c:strCache>
                <c:ptCount val="1"/>
                <c:pt idx="0">
                  <c:v>2008</c:v>
                </c:pt>
              </c:strCache>
            </c:strRef>
          </c:tx>
          <c:cat>
            <c:strRef>
              <c:f>'Samlet diagram'!$C$3:$C$8</c:f>
              <c:strCache>
                <c:ptCount val="6"/>
                <c:pt idx="0">
                  <c:v>Borgmesterens Afdeling</c:v>
                </c:pt>
                <c:pt idx="1">
                  <c:v>Børn og unge</c:v>
                </c:pt>
                <c:pt idx="2">
                  <c:v>Kultur og Borgerservice</c:v>
                </c:pt>
                <c:pt idx="3">
                  <c:v>Socialeforhold og Beskæftigelse</c:v>
                </c:pt>
                <c:pt idx="4">
                  <c:v>Sundhed og Omsorg</c:v>
                </c:pt>
                <c:pt idx="5">
                  <c:v>Teknik og Miljø</c:v>
                </c:pt>
              </c:strCache>
            </c:strRef>
          </c:cat>
          <c:val>
            <c:numRef>
              <c:f>'Samlet diagram'!$D$3:$D$8</c:f>
              <c:numCache>
                <c:formatCode>_ * #,##0_ ;_ * \-#,##0_ ;_ * "-"??_ ;_ @_ </c:formatCode>
                <c:ptCount val="6"/>
                <c:pt idx="0" formatCode="General">
                  <c:v>102.6</c:v>
                </c:pt>
                <c:pt idx="1">
                  <c:v>24079</c:v>
                </c:pt>
                <c:pt idx="2">
                  <c:v>10087</c:v>
                </c:pt>
                <c:pt idx="3">
                  <c:v>6231</c:v>
                </c:pt>
                <c:pt idx="4">
                  <c:v>14807</c:v>
                </c:pt>
                <c:pt idx="5">
                  <c:v>29144</c:v>
                </c:pt>
              </c:numCache>
            </c:numRef>
          </c:val>
        </c:ser>
        <c:ser>
          <c:idx val="0"/>
          <c:order val="1"/>
          <c:tx>
            <c:strRef>
              <c:f>'Samlet diagram'!$E$2</c:f>
              <c:strCache>
                <c:ptCount val="1"/>
                <c:pt idx="0">
                  <c:v>2009</c:v>
                </c:pt>
              </c:strCache>
            </c:strRef>
          </c:tx>
          <c:cat>
            <c:strRef>
              <c:f>'Samlet diagram'!$C$3:$C$8</c:f>
              <c:strCache>
                <c:ptCount val="6"/>
                <c:pt idx="0">
                  <c:v>Borgmesterens Afdeling</c:v>
                </c:pt>
                <c:pt idx="1">
                  <c:v>Børn og unge</c:v>
                </c:pt>
                <c:pt idx="2">
                  <c:v>Kultur og Borgerservice</c:v>
                </c:pt>
                <c:pt idx="3">
                  <c:v>Socialeforhold og Beskæftigelse</c:v>
                </c:pt>
                <c:pt idx="4">
                  <c:v>Sundhed og Omsorg</c:v>
                </c:pt>
                <c:pt idx="5">
                  <c:v>Teknik og Miljø</c:v>
                </c:pt>
              </c:strCache>
            </c:strRef>
          </c:cat>
          <c:val>
            <c:numRef>
              <c:f>'Samlet diagram'!$E$3:$E$8</c:f>
              <c:numCache>
                <c:formatCode>_ * #,##0_ ;_ * \-#,##0_ ;_ * "-"??_ ;_ @_ </c:formatCode>
                <c:ptCount val="6"/>
                <c:pt idx="0" formatCode="General">
                  <c:v>135.1</c:v>
                </c:pt>
                <c:pt idx="1">
                  <c:v>24278</c:v>
                </c:pt>
                <c:pt idx="2">
                  <c:v>10601</c:v>
                </c:pt>
                <c:pt idx="3">
                  <c:v>6537</c:v>
                </c:pt>
                <c:pt idx="4">
                  <c:v>14884</c:v>
                </c:pt>
                <c:pt idx="5">
                  <c:v>29419</c:v>
                </c:pt>
              </c:numCache>
            </c:numRef>
          </c:val>
        </c:ser>
        <c:ser>
          <c:idx val="1"/>
          <c:order val="2"/>
          <c:tx>
            <c:strRef>
              <c:f>'Samlet diagram'!$F$2</c:f>
              <c:strCache>
                <c:ptCount val="1"/>
                <c:pt idx="0">
                  <c:v>2010</c:v>
                </c:pt>
              </c:strCache>
            </c:strRef>
          </c:tx>
          <c:cat>
            <c:strRef>
              <c:f>'Samlet diagram'!$C$3:$C$8</c:f>
              <c:strCache>
                <c:ptCount val="6"/>
                <c:pt idx="0">
                  <c:v>Borgmesterens Afdeling</c:v>
                </c:pt>
                <c:pt idx="1">
                  <c:v>Børn og unge</c:v>
                </c:pt>
                <c:pt idx="2">
                  <c:v>Kultur og Borgerservice</c:v>
                </c:pt>
                <c:pt idx="3">
                  <c:v>Socialeforhold og Beskæftigelse</c:v>
                </c:pt>
                <c:pt idx="4">
                  <c:v>Sundhed og Omsorg</c:v>
                </c:pt>
                <c:pt idx="5">
                  <c:v>Teknik og Miljø</c:v>
                </c:pt>
              </c:strCache>
            </c:strRef>
          </c:cat>
          <c:val>
            <c:numRef>
              <c:f>'Samlet diagram'!$F$3:$F$8</c:f>
              <c:numCache>
                <c:formatCode>_ * #,##0_ ;_ * \-#,##0_ ;_ * "-"??_ ;_ @_ </c:formatCode>
                <c:ptCount val="6"/>
                <c:pt idx="0" formatCode="General">
                  <c:v>149.80000000000001</c:v>
                </c:pt>
                <c:pt idx="1">
                  <c:v>21157</c:v>
                </c:pt>
                <c:pt idx="2">
                  <c:v>11272</c:v>
                </c:pt>
                <c:pt idx="3">
                  <c:v>7225</c:v>
                </c:pt>
                <c:pt idx="4">
                  <c:v>15637</c:v>
                </c:pt>
                <c:pt idx="5">
                  <c:v>29134</c:v>
                </c:pt>
              </c:numCache>
            </c:numRef>
          </c:val>
        </c:ser>
        <c:axId val="88297856"/>
        <c:axId val="88299392"/>
      </c:barChart>
      <c:catAx>
        <c:axId val="88297856"/>
        <c:scaling>
          <c:orientation val="minMax"/>
        </c:scaling>
        <c:axPos val="b"/>
        <c:numFmt formatCode="General" sourceLinked="1"/>
        <c:tickLblPos val="nextTo"/>
        <c:crossAx val="88299392"/>
        <c:crosses val="autoZero"/>
        <c:auto val="1"/>
        <c:lblAlgn val="ctr"/>
        <c:lblOffset val="100"/>
      </c:catAx>
      <c:valAx>
        <c:axId val="88299392"/>
        <c:scaling>
          <c:orientation val="minMax"/>
          <c:min val="0"/>
        </c:scaling>
        <c:axPos val="l"/>
        <c:majorGridlines/>
        <c:title>
          <c:tx>
            <c:rich>
              <a:bodyPr rot="-5400000" vert="horz"/>
              <a:lstStyle/>
              <a:p>
                <a:pPr>
                  <a:defRPr/>
                </a:pPr>
                <a:r>
                  <a:rPr lang="en-US"/>
                  <a:t>Ton CO2</a:t>
                </a:r>
              </a:p>
            </c:rich>
          </c:tx>
          <c:layout/>
        </c:title>
        <c:numFmt formatCode="General" sourceLinked="1"/>
        <c:tickLblPos val="nextTo"/>
        <c:crossAx val="88297856"/>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da-DK"/>
  <c:chart>
    <c:title>
      <c:tx>
        <c:rich>
          <a:bodyPr/>
          <a:lstStyle/>
          <a:p>
            <a:pPr>
              <a:defRPr/>
            </a:pPr>
            <a:r>
              <a:rPr lang="en-US"/>
              <a:t>El-forbrug 2010</a:t>
            </a:r>
          </a:p>
        </c:rich>
      </c:tx>
      <c:layout/>
      <c:spPr>
        <a:noFill/>
        <a:ln w="25400">
          <a:noFill/>
        </a:ln>
      </c:spPr>
    </c:title>
    <c:plotArea>
      <c:layout/>
      <c:barChart>
        <c:barDir val="bar"/>
        <c:grouping val="clustered"/>
        <c:ser>
          <c:idx val="0"/>
          <c:order val="0"/>
          <c:tx>
            <c:strRef>
              <c:f>'Egne grafer'!$C$50</c:f>
              <c:strCache>
                <c:ptCount val="1"/>
                <c:pt idx="0">
                  <c:v>Elforbrug MWh</c:v>
                </c:pt>
              </c:strCache>
            </c:strRef>
          </c:tx>
          <c:cat>
            <c:strRef>
              <c:f>'Egne grafer'!$B$51:$B$58</c:f>
              <c:strCache>
                <c:ptCount val="8"/>
                <c:pt idx="0">
                  <c:v>Borgmesterens afdeling</c:v>
                </c:pt>
                <c:pt idx="1">
                  <c:v>Børn og Unge</c:v>
                </c:pt>
                <c:pt idx="2">
                  <c:v>Kultur og Borgerservice</c:v>
                </c:pt>
                <c:pt idx="3">
                  <c:v>Social og Beskæftigelse</c:v>
                </c:pt>
                <c:pt idx="4">
                  <c:v>Sundhed og Omsorg</c:v>
                </c:pt>
                <c:pt idx="5">
                  <c:v>Teknik og Miljø</c:v>
                </c:pt>
                <c:pt idx="6">
                  <c:v>Århus Vand AS</c:v>
                </c:pt>
                <c:pt idx="7">
                  <c:v>Busselskabet Aarhus Sporveje (Midttrafik)</c:v>
                </c:pt>
              </c:strCache>
            </c:strRef>
          </c:cat>
          <c:val>
            <c:numRef>
              <c:f>'Egne grafer'!$C$51:$C$58</c:f>
              <c:numCache>
                <c:formatCode>#,##0</c:formatCode>
                <c:ptCount val="8"/>
                <c:pt idx="0">
                  <c:v>0</c:v>
                </c:pt>
                <c:pt idx="1">
                  <c:v>18338.156999999996</c:v>
                </c:pt>
                <c:pt idx="2">
                  <c:v>11876.717000000002</c:v>
                </c:pt>
                <c:pt idx="3">
                  <c:v>4938.1060000000034</c:v>
                </c:pt>
                <c:pt idx="4">
                  <c:v>13461.743000000009</c:v>
                </c:pt>
                <c:pt idx="5">
                  <c:v>71075.972999999998</c:v>
                </c:pt>
                <c:pt idx="6">
                  <c:v>28084.792000000001</c:v>
                </c:pt>
                <c:pt idx="7">
                  <c:v>1389.6639999999998</c:v>
                </c:pt>
              </c:numCache>
            </c:numRef>
          </c:val>
        </c:ser>
        <c:axId val="91843200"/>
        <c:axId val="91857280"/>
      </c:barChart>
      <c:catAx>
        <c:axId val="91843200"/>
        <c:scaling>
          <c:orientation val="minMax"/>
        </c:scaling>
        <c:axPos val="l"/>
        <c:numFmt formatCode="General" sourceLinked="1"/>
        <c:tickLblPos val="nextTo"/>
        <c:crossAx val="91857280"/>
        <c:crosses val="autoZero"/>
        <c:auto val="1"/>
        <c:lblAlgn val="ctr"/>
        <c:lblOffset val="100"/>
      </c:catAx>
      <c:valAx>
        <c:axId val="91857280"/>
        <c:scaling>
          <c:orientation val="minMax"/>
        </c:scaling>
        <c:axPos val="b"/>
        <c:majorGridlines/>
        <c:title>
          <c:tx>
            <c:rich>
              <a:bodyPr/>
              <a:lstStyle/>
              <a:p>
                <a:pPr>
                  <a:defRPr/>
                </a:pPr>
                <a:r>
                  <a:rPr lang="en-US"/>
                  <a:t>MWh</a:t>
                </a:r>
              </a:p>
            </c:rich>
          </c:tx>
          <c:layout/>
        </c:title>
        <c:numFmt formatCode="#,##0" sourceLinked="0"/>
        <c:tickLblPos val="nextTo"/>
        <c:crossAx val="9184320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da-DK"/>
  <c:chart>
    <c:title>
      <c:tx>
        <c:rich>
          <a:bodyPr/>
          <a:lstStyle/>
          <a:p>
            <a:pPr>
              <a:defRPr/>
            </a:pPr>
            <a:r>
              <a:rPr lang="en-US"/>
              <a:t>Samlet</a:t>
            </a:r>
            <a:r>
              <a:rPr lang="en-US" baseline="0"/>
              <a:t> el-forbrug</a:t>
            </a:r>
            <a:endParaRPr lang="en-US"/>
          </a:p>
        </c:rich>
      </c:tx>
      <c:layout/>
    </c:title>
    <c:plotArea>
      <c:layout/>
      <c:barChart>
        <c:barDir val="col"/>
        <c:grouping val="clustered"/>
        <c:ser>
          <c:idx val="0"/>
          <c:order val="0"/>
          <c:cat>
            <c:numRef>
              <c:f>'Ark1'!$C$18:$E$18</c:f>
              <c:numCache>
                <c:formatCode>General</c:formatCode>
                <c:ptCount val="3"/>
                <c:pt idx="0">
                  <c:v>2008</c:v>
                </c:pt>
                <c:pt idx="1">
                  <c:v>2009</c:v>
                </c:pt>
                <c:pt idx="2">
                  <c:v>2010</c:v>
                </c:pt>
              </c:numCache>
            </c:numRef>
          </c:cat>
          <c:val>
            <c:numRef>
              <c:f>'Ark1'!$C$19:$E$19</c:f>
              <c:numCache>
                <c:formatCode>_ * #,##0_ ;_ * \-#,##0_ ;_ * "-"??_ ;_ @_ </c:formatCode>
                <c:ptCount val="3"/>
                <c:pt idx="0">
                  <c:v>154268</c:v>
                </c:pt>
                <c:pt idx="1">
                  <c:v>148869</c:v>
                </c:pt>
                <c:pt idx="2">
                  <c:v>149437</c:v>
                </c:pt>
              </c:numCache>
            </c:numRef>
          </c:val>
        </c:ser>
        <c:axId val="91859968"/>
        <c:axId val="97456896"/>
      </c:barChart>
      <c:catAx>
        <c:axId val="91859968"/>
        <c:scaling>
          <c:orientation val="minMax"/>
        </c:scaling>
        <c:axPos val="b"/>
        <c:numFmt formatCode="General" sourceLinked="1"/>
        <c:tickLblPos val="nextTo"/>
        <c:crossAx val="97456896"/>
        <c:crosses val="autoZero"/>
        <c:auto val="1"/>
        <c:lblAlgn val="ctr"/>
        <c:lblOffset val="100"/>
      </c:catAx>
      <c:valAx>
        <c:axId val="97456896"/>
        <c:scaling>
          <c:orientation val="minMax"/>
          <c:min val="0"/>
        </c:scaling>
        <c:axPos val="l"/>
        <c:majorGridlines/>
        <c:title>
          <c:tx>
            <c:rich>
              <a:bodyPr rot="-5400000" vert="horz"/>
              <a:lstStyle/>
              <a:p>
                <a:pPr>
                  <a:defRPr/>
                </a:pPr>
                <a:r>
                  <a:rPr lang="en-US"/>
                  <a:t>MWh</a:t>
                </a:r>
              </a:p>
            </c:rich>
          </c:tx>
          <c:layout/>
        </c:title>
        <c:numFmt formatCode="_ * #,##0_ ;_ * \-#,##0_ ;_ * &quot;-&quot;??_ ;_ @_ " sourceLinked="1"/>
        <c:tickLblPos val="nextTo"/>
        <c:crossAx val="9185996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da-DK"/>
  <c:chart>
    <c:title>
      <c:tx>
        <c:rich>
          <a:bodyPr/>
          <a:lstStyle/>
          <a:p>
            <a:pPr>
              <a:defRPr/>
            </a:pPr>
            <a:r>
              <a:rPr lang="en-US"/>
              <a:t>Varmeforbrug 2010</a:t>
            </a:r>
          </a:p>
        </c:rich>
      </c:tx>
      <c:layout/>
      <c:spPr>
        <a:noFill/>
        <a:ln w="25400">
          <a:noFill/>
        </a:ln>
      </c:spPr>
    </c:title>
    <c:plotArea>
      <c:layout/>
      <c:barChart>
        <c:barDir val="bar"/>
        <c:grouping val="clustered"/>
        <c:ser>
          <c:idx val="0"/>
          <c:order val="0"/>
          <c:tx>
            <c:strRef>
              <c:f>'Egne grafer'!$C$73</c:f>
              <c:strCache>
                <c:ptCount val="1"/>
                <c:pt idx="0">
                  <c:v>Varmeforbrug MWh</c:v>
                </c:pt>
              </c:strCache>
            </c:strRef>
          </c:tx>
          <c:cat>
            <c:strRef>
              <c:f>'Egne grafer'!$B$74:$B$81</c:f>
              <c:strCache>
                <c:ptCount val="8"/>
                <c:pt idx="0">
                  <c:v>Borgmesterens afdeling</c:v>
                </c:pt>
                <c:pt idx="1">
                  <c:v>Børn og Unge</c:v>
                </c:pt>
                <c:pt idx="2">
                  <c:v>Kultur og Borgerservice</c:v>
                </c:pt>
                <c:pt idx="3">
                  <c:v>Social og Beskæftigelse</c:v>
                </c:pt>
                <c:pt idx="4">
                  <c:v>Sundhed og Omsorg</c:v>
                </c:pt>
                <c:pt idx="5">
                  <c:v>Teknik og Miljø</c:v>
                </c:pt>
                <c:pt idx="6">
                  <c:v>Århus Vand AS</c:v>
                </c:pt>
                <c:pt idx="7">
                  <c:v>Busselskabet Aarhus Sporveje (Midttrafik)</c:v>
                </c:pt>
              </c:strCache>
            </c:strRef>
          </c:cat>
          <c:val>
            <c:numRef>
              <c:f>'Egne grafer'!$C$74:$C$81</c:f>
              <c:numCache>
                <c:formatCode>#,##0</c:formatCode>
                <c:ptCount val="8"/>
                <c:pt idx="0">
                  <c:v>0</c:v>
                </c:pt>
                <c:pt idx="1">
                  <c:v>64829.914000000012</c:v>
                </c:pt>
                <c:pt idx="2">
                  <c:v>29743.830999999984</c:v>
                </c:pt>
                <c:pt idx="3">
                  <c:v>15243.825000000001</c:v>
                </c:pt>
                <c:pt idx="4">
                  <c:v>45958.622999999992</c:v>
                </c:pt>
                <c:pt idx="5">
                  <c:v>14076.791999999992</c:v>
                </c:pt>
                <c:pt idx="6">
                  <c:v>2180.1979999999999</c:v>
                </c:pt>
                <c:pt idx="7">
                  <c:v>2676.5110000000018</c:v>
                </c:pt>
              </c:numCache>
            </c:numRef>
          </c:val>
        </c:ser>
        <c:axId val="97485952"/>
        <c:axId val="97487488"/>
      </c:barChart>
      <c:catAx>
        <c:axId val="97485952"/>
        <c:scaling>
          <c:orientation val="minMax"/>
        </c:scaling>
        <c:axPos val="l"/>
        <c:numFmt formatCode="General" sourceLinked="1"/>
        <c:tickLblPos val="nextTo"/>
        <c:crossAx val="97487488"/>
        <c:crosses val="autoZero"/>
        <c:auto val="1"/>
        <c:lblAlgn val="ctr"/>
        <c:lblOffset val="100"/>
      </c:catAx>
      <c:valAx>
        <c:axId val="97487488"/>
        <c:scaling>
          <c:orientation val="minMax"/>
        </c:scaling>
        <c:axPos val="b"/>
        <c:majorGridlines/>
        <c:title>
          <c:tx>
            <c:rich>
              <a:bodyPr/>
              <a:lstStyle/>
              <a:p>
                <a:pPr>
                  <a:defRPr/>
                </a:pPr>
                <a:r>
                  <a:rPr lang="en-US"/>
                  <a:t>MWh</a:t>
                </a:r>
              </a:p>
            </c:rich>
          </c:tx>
          <c:layout/>
        </c:title>
        <c:numFmt formatCode="#,##0" sourceLinked="0"/>
        <c:tickLblPos val="nextTo"/>
        <c:crossAx val="97485952"/>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en-US"/>
              <a:t>Samlet varmeforbrug</a:t>
            </a:r>
          </a:p>
        </c:rich>
      </c:tx>
      <c:layout/>
    </c:title>
    <c:plotArea>
      <c:layout/>
      <c:barChart>
        <c:barDir val="col"/>
        <c:grouping val="clustered"/>
        <c:ser>
          <c:idx val="0"/>
          <c:order val="0"/>
          <c:cat>
            <c:numRef>
              <c:f>'Ark1'!$C$29:$E$29</c:f>
              <c:numCache>
                <c:formatCode>General</c:formatCode>
                <c:ptCount val="3"/>
                <c:pt idx="0">
                  <c:v>2008</c:v>
                </c:pt>
                <c:pt idx="1">
                  <c:v>2009</c:v>
                </c:pt>
                <c:pt idx="2">
                  <c:v>2010</c:v>
                </c:pt>
              </c:numCache>
            </c:numRef>
          </c:cat>
          <c:val>
            <c:numRef>
              <c:f>'Ark1'!$C$30:$E$30</c:f>
              <c:numCache>
                <c:formatCode>_ * #,##0_ ;_ * \-#,##0_ ;_ * "-"??_ ;_ @_ </c:formatCode>
                <c:ptCount val="3"/>
                <c:pt idx="0">
                  <c:v>164716</c:v>
                </c:pt>
                <c:pt idx="1">
                  <c:v>177000</c:v>
                </c:pt>
                <c:pt idx="2">
                  <c:v>175000</c:v>
                </c:pt>
              </c:numCache>
            </c:numRef>
          </c:val>
        </c:ser>
        <c:axId val="97515008"/>
        <c:axId val="97516544"/>
      </c:barChart>
      <c:catAx>
        <c:axId val="97515008"/>
        <c:scaling>
          <c:orientation val="minMax"/>
        </c:scaling>
        <c:axPos val="b"/>
        <c:numFmt formatCode="General" sourceLinked="1"/>
        <c:tickLblPos val="nextTo"/>
        <c:crossAx val="97516544"/>
        <c:crosses val="autoZero"/>
        <c:auto val="1"/>
        <c:lblAlgn val="ctr"/>
        <c:lblOffset val="100"/>
      </c:catAx>
      <c:valAx>
        <c:axId val="97516544"/>
        <c:scaling>
          <c:orientation val="minMax"/>
          <c:min val="0"/>
        </c:scaling>
        <c:axPos val="l"/>
        <c:majorGridlines/>
        <c:title>
          <c:tx>
            <c:rich>
              <a:bodyPr rot="-5400000" vert="horz"/>
              <a:lstStyle/>
              <a:p>
                <a:pPr>
                  <a:defRPr/>
                </a:pPr>
                <a:r>
                  <a:rPr lang="en-US"/>
                  <a:t>MWh</a:t>
                </a:r>
              </a:p>
            </c:rich>
          </c:tx>
          <c:layout/>
        </c:title>
        <c:numFmt formatCode="_ * #,##0_ ;_ * \-#,##0_ ;_ * &quot;-&quot;??_ ;_ @_ " sourceLinked="1"/>
        <c:tickLblPos val="nextTo"/>
        <c:crossAx val="9751500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en-US"/>
              <a:t>CO</a:t>
            </a:r>
            <a:r>
              <a:rPr lang="en-US" sz="1200"/>
              <a:t>2</a:t>
            </a:r>
            <a:r>
              <a:rPr lang="en-US" baseline="0"/>
              <a:t> transport</a:t>
            </a:r>
            <a:endParaRPr lang="en-US"/>
          </a:p>
        </c:rich>
      </c:tx>
    </c:title>
    <c:plotArea>
      <c:layout/>
      <c:barChart>
        <c:barDir val="col"/>
        <c:grouping val="clustered"/>
        <c:ser>
          <c:idx val="1"/>
          <c:order val="0"/>
          <c:spPr>
            <a:solidFill>
              <a:schemeClr val="accent1"/>
            </a:solidFill>
          </c:spPr>
          <c:cat>
            <c:numRef>
              <c:f>'Ark1'!$C$51:$E$51</c:f>
              <c:numCache>
                <c:formatCode>General</c:formatCode>
                <c:ptCount val="3"/>
                <c:pt idx="0">
                  <c:v>2008</c:v>
                </c:pt>
                <c:pt idx="1">
                  <c:v>2009</c:v>
                </c:pt>
                <c:pt idx="2">
                  <c:v>2010</c:v>
                </c:pt>
              </c:numCache>
            </c:numRef>
          </c:cat>
          <c:val>
            <c:numRef>
              <c:f>'Ark1'!$C$52:$E$52</c:f>
              <c:numCache>
                <c:formatCode>_ * #,##0_ ;_ * \-#,##0_ ;_ * "-"??_ ;_ @_ </c:formatCode>
                <c:ptCount val="3"/>
                <c:pt idx="0">
                  <c:v>24400</c:v>
                </c:pt>
                <c:pt idx="1">
                  <c:v>26500</c:v>
                </c:pt>
                <c:pt idx="2">
                  <c:v>25500</c:v>
                </c:pt>
              </c:numCache>
            </c:numRef>
          </c:val>
        </c:ser>
        <c:axId val="97528448"/>
        <c:axId val="97550720"/>
      </c:barChart>
      <c:catAx>
        <c:axId val="97528448"/>
        <c:scaling>
          <c:orientation val="minMax"/>
        </c:scaling>
        <c:axPos val="b"/>
        <c:numFmt formatCode="General" sourceLinked="1"/>
        <c:tickLblPos val="nextTo"/>
        <c:crossAx val="97550720"/>
        <c:crosses val="autoZero"/>
        <c:auto val="1"/>
        <c:lblAlgn val="ctr"/>
        <c:lblOffset val="100"/>
      </c:catAx>
      <c:valAx>
        <c:axId val="97550720"/>
        <c:scaling>
          <c:orientation val="minMax"/>
          <c:min val="0"/>
        </c:scaling>
        <c:axPos val="l"/>
        <c:majorGridlines/>
        <c:title>
          <c:tx>
            <c:rich>
              <a:bodyPr rot="-5400000" vert="horz"/>
              <a:lstStyle/>
              <a:p>
                <a:pPr>
                  <a:defRPr/>
                </a:pPr>
                <a:r>
                  <a:rPr lang="en-US"/>
                  <a:t>Ton CO</a:t>
                </a:r>
                <a:r>
                  <a:rPr lang="en-US" sz="600"/>
                  <a:t>2</a:t>
                </a:r>
                <a:endParaRPr lang="en-US"/>
              </a:p>
            </c:rich>
          </c:tx>
        </c:title>
        <c:numFmt formatCode="_ * #,##0_ ;_ * \-#,##0_ ;_ * &quot;-&quot;??_ ;_ @_ " sourceLinked="1"/>
        <c:tickLblPos val="nextTo"/>
        <c:crossAx val="9752844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391A-2845-4C50-8ABA-74F16963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2741</Words>
  <Characters>16726</Characters>
  <Application>Microsoft Office Word</Application>
  <DocSecurity>4</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COWI</Company>
  <LinksUpToDate>false</LinksUpToDate>
  <CharactersWithSpaces>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Werner Nielsen</dc:creator>
  <cp:lastModifiedBy>Gustav Brade</cp:lastModifiedBy>
  <cp:revision>2</cp:revision>
  <cp:lastPrinted>2011-07-04T11:20:00Z</cp:lastPrinted>
  <dcterms:created xsi:type="dcterms:W3CDTF">2011-08-10T08:12:00Z</dcterms:created>
  <dcterms:modified xsi:type="dcterms:W3CDTF">2011-08-10T08:12:00Z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549489696</vt:i4>
  </property>
  <property fmtid="{D5CDD505-2E9C-101B-9397-08002B2CF9AE}" pid="3" name="_NewReviewCycle">
    <vt:lpwstr/>
  </property>
  <property fmtid="{D5CDD505-2E9C-101B-9397-08002B2CF9AE}" pid="4" name="_EmailSubject">
    <vt:lpwstr>Afleveringsdato for Aarhus Kommunes CO2-opgørelse 2010</vt:lpwstr>
  </property>
  <property fmtid="{D5CDD505-2E9C-101B-9397-08002B2CF9AE}" pid="5" name="_AuthorEmail">
    <vt:lpwstr>thdp@aarhus.dk</vt:lpwstr>
  </property>
  <property fmtid="{D5CDD505-2E9C-101B-9397-08002B2CF9AE}" pid="6" name="_AuthorEmailDisplayName">
    <vt:lpwstr>Thomas Dejbjerg Pedersen</vt:lpwstr>
  </property>
  <property fmtid="{D5CDD505-2E9C-101B-9397-08002B2CF9AE}" pid="7" name="_PreviousAdHocReviewCycleID">
    <vt:i4>1755938460</vt:i4>
  </property>
  <property fmtid="{D5CDD505-2E9C-101B-9397-08002B2CF9AE}" pid="8" name="_ReviewingToolsShownOnce">
    <vt:lpwstr/>
  </property>
</Properties>
</file>