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9B" w:rsidRPr="008A2F7A" w:rsidRDefault="006B769B" w:rsidP="00FC345E">
      <w:pPr>
        <w:rPr>
          <w:rFonts w:ascii="Verdana" w:hAnsi="Verdana"/>
          <w:sz w:val="40"/>
          <w:szCs w:val="40"/>
        </w:rPr>
      </w:pPr>
      <w:r>
        <w:rPr>
          <w:rFonts w:ascii="Verdana" w:hAnsi="Verdana"/>
          <w:sz w:val="40"/>
          <w:szCs w:val="40"/>
        </w:rPr>
        <w:t>Notat om Bornholms energibalance 2010 i relation til indgået klimaaftale med Danmarksnaturfredningsforening.</w:t>
      </w:r>
    </w:p>
    <w:p w:rsidR="006B769B" w:rsidRDefault="006B769B" w:rsidP="00FC345E"/>
    <w:p w:rsidR="006B769B" w:rsidRDefault="006B769B" w:rsidP="00FC345E"/>
    <w:p w:rsidR="006B769B" w:rsidRDefault="006B769B" w:rsidP="00361EA5">
      <w:pPr>
        <w:rPr>
          <w:rStyle w:val="BRK-brdtekstTegn"/>
          <w:rFonts w:cs="Tahoma"/>
        </w:rPr>
      </w:pPr>
    </w:p>
    <w:p w:rsidR="006B769B" w:rsidRDefault="006B769B" w:rsidP="00361EA5">
      <w:pPr>
        <w:rPr>
          <w:rStyle w:val="BRK-brdtekstTegn"/>
          <w:rFonts w:cs="Tahoma"/>
        </w:rPr>
      </w:pPr>
      <w:r>
        <w:rPr>
          <w:rStyle w:val="BRK-brdtekstTegn"/>
          <w:rFonts w:cs="Tahoma"/>
        </w:rPr>
        <w:t xml:space="preserve">Der blev i 2008 indgået en klimaaftale med </w:t>
      </w:r>
      <w:smartTag w:uri="urn:schemas-microsoft-com:office:smarttags" w:element="PersonName">
        <w:smartTagPr>
          <w:attr w:name="ProductID" w:val="Danmarks Naturfredningsforening"/>
        </w:smartTagPr>
        <w:r>
          <w:rPr>
            <w:rStyle w:val="BRK-brdtekstTegn"/>
            <w:rFonts w:cs="Tahoma"/>
          </w:rPr>
          <w:t>Danmarks Naturfredningsforening</w:t>
        </w:r>
      </w:smartTag>
      <w:r>
        <w:rPr>
          <w:rStyle w:val="BRK-brdtekstTegn"/>
          <w:rFonts w:cs="Tahoma"/>
        </w:rPr>
        <w:t>, hvor Bornholms Regionskommune bl.a. forpligtede sig til, at Bornholms samlede CO2 udslip skal reduceres med min. 5 % hvert andet år.</w:t>
      </w:r>
    </w:p>
    <w:p w:rsidR="006B769B" w:rsidRDefault="006B769B" w:rsidP="00B64708"/>
    <w:p w:rsidR="006B769B" w:rsidRDefault="006B769B" w:rsidP="00B64708">
      <w:r>
        <w:t>Udgangspunktet tages i en opgørelse fra 2008, som i store træk var en fremskrivning af en opgørelse fra 2005, hvor en mere grundig datafangst fandt sted. Det er i arbejdet med opgørelsen for 2010 forsøgt den samme metode for datafangst som for 2005. Desværre har det ikke vist sig muligt. I 2005 (fordi datafangsten indgik i et større internationalt projekt) var bl.a. halvdelen af transpoten til og fra Bornholm indregnet. Det har ikke vist sig mulig for data til opgørelsen i 2010, da det er frivilligt for private virksomheder (også transport virksomheder) at afgive de informationer, da brændstofforbrug er en væsentlig konkurrenceparameter i forhold til udbud. Også et par andre mindre metoder i datafangsten har ændret sig. Derfor har Regionskommunen valgt en ny metodik som bl.a. ikke medtager transport til og fra Bornholm og konsekvensrettet bagud til 2005 med samme metodik for at have et sammenlignings grundlag for 2010.</w:t>
      </w:r>
    </w:p>
    <w:p w:rsidR="006B769B" w:rsidRDefault="006B769B" w:rsidP="00B64708"/>
    <w:p w:rsidR="006B769B" w:rsidRDefault="006B769B" w:rsidP="00EB59EF">
      <w:r>
        <w:t>I nedenstående tabel er opført en række sammenlignelige data for henholdsvis 2005 og 2010.</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3517"/>
        <w:gridCol w:w="3002"/>
      </w:tblGrid>
      <w:tr w:rsidR="006B769B" w:rsidTr="00730EBB">
        <w:tc>
          <w:tcPr>
            <w:tcW w:w="3431" w:type="dxa"/>
          </w:tcPr>
          <w:p w:rsidR="006B769B" w:rsidRDefault="006B769B" w:rsidP="00EB5D3F"/>
        </w:tc>
        <w:tc>
          <w:tcPr>
            <w:tcW w:w="3517" w:type="dxa"/>
          </w:tcPr>
          <w:p w:rsidR="006B769B" w:rsidRPr="00730EBB" w:rsidRDefault="006B769B" w:rsidP="00730EBB">
            <w:pPr>
              <w:jc w:val="center"/>
              <w:rPr>
                <w:b/>
              </w:rPr>
            </w:pPr>
            <w:r w:rsidRPr="00730EBB">
              <w:rPr>
                <w:b/>
              </w:rPr>
              <w:t>2005</w:t>
            </w:r>
          </w:p>
        </w:tc>
        <w:tc>
          <w:tcPr>
            <w:tcW w:w="3002" w:type="dxa"/>
          </w:tcPr>
          <w:p w:rsidR="006B769B" w:rsidRPr="00730EBB" w:rsidRDefault="006B769B" w:rsidP="00730EBB">
            <w:pPr>
              <w:jc w:val="center"/>
              <w:rPr>
                <w:b/>
              </w:rPr>
            </w:pPr>
            <w:r w:rsidRPr="00730EBB">
              <w:rPr>
                <w:b/>
              </w:rPr>
              <w:t>2010</w:t>
            </w:r>
          </w:p>
        </w:tc>
      </w:tr>
      <w:tr w:rsidR="006B769B" w:rsidTr="00730EBB">
        <w:tc>
          <w:tcPr>
            <w:tcW w:w="3431" w:type="dxa"/>
          </w:tcPr>
          <w:p w:rsidR="006B769B" w:rsidRDefault="006B769B" w:rsidP="00EB5D3F">
            <w:r>
              <w:t>Energiforbrug i alt</w:t>
            </w:r>
          </w:p>
        </w:tc>
        <w:tc>
          <w:tcPr>
            <w:tcW w:w="3517" w:type="dxa"/>
          </w:tcPr>
          <w:p w:rsidR="006B769B" w:rsidRDefault="006B769B" w:rsidP="00730EBB">
            <w:pPr>
              <w:tabs>
                <w:tab w:val="right" w:pos="3034"/>
              </w:tabs>
              <w:jc w:val="right"/>
            </w:pPr>
            <w:r>
              <w:t>1274 GWh</w:t>
            </w:r>
          </w:p>
        </w:tc>
        <w:tc>
          <w:tcPr>
            <w:tcW w:w="3002" w:type="dxa"/>
          </w:tcPr>
          <w:p w:rsidR="006B769B" w:rsidRDefault="006B769B" w:rsidP="00730EBB">
            <w:pPr>
              <w:tabs>
                <w:tab w:val="left" w:pos="3034"/>
              </w:tabs>
              <w:jc w:val="right"/>
            </w:pPr>
            <w:r>
              <w:t>1367 GWh</w:t>
            </w:r>
          </w:p>
        </w:tc>
      </w:tr>
      <w:tr w:rsidR="006B769B" w:rsidTr="00730EBB">
        <w:tc>
          <w:tcPr>
            <w:tcW w:w="3431" w:type="dxa"/>
          </w:tcPr>
          <w:p w:rsidR="006B769B" w:rsidRDefault="006B769B" w:rsidP="00EB5D3F">
            <w:r>
              <w:t>% udnyttelse af lokale ressourcer</w:t>
            </w:r>
          </w:p>
        </w:tc>
        <w:tc>
          <w:tcPr>
            <w:tcW w:w="3517" w:type="dxa"/>
          </w:tcPr>
          <w:p w:rsidR="006B769B" w:rsidRDefault="006B769B" w:rsidP="00730EBB">
            <w:pPr>
              <w:tabs>
                <w:tab w:val="left" w:pos="3034"/>
              </w:tabs>
              <w:jc w:val="right"/>
            </w:pPr>
            <w:r>
              <w:t>58 %</w:t>
            </w:r>
          </w:p>
        </w:tc>
        <w:tc>
          <w:tcPr>
            <w:tcW w:w="3002" w:type="dxa"/>
          </w:tcPr>
          <w:p w:rsidR="006B769B" w:rsidRDefault="006B769B" w:rsidP="00730EBB">
            <w:pPr>
              <w:tabs>
                <w:tab w:val="left" w:pos="3034"/>
              </w:tabs>
              <w:jc w:val="right"/>
            </w:pPr>
            <w:r>
              <w:t>69 %</w:t>
            </w:r>
          </w:p>
        </w:tc>
      </w:tr>
      <w:tr w:rsidR="006B769B" w:rsidTr="00730EBB">
        <w:tc>
          <w:tcPr>
            <w:tcW w:w="3431" w:type="dxa"/>
          </w:tcPr>
          <w:p w:rsidR="006B769B" w:rsidRDefault="006B769B" w:rsidP="00EB5D3F">
            <w:r>
              <w:t>Udgifter til olie og kul</w:t>
            </w:r>
          </w:p>
        </w:tc>
        <w:tc>
          <w:tcPr>
            <w:tcW w:w="3517" w:type="dxa"/>
          </w:tcPr>
          <w:p w:rsidR="006B769B" w:rsidRDefault="006B769B" w:rsidP="00730EBB">
            <w:pPr>
              <w:tabs>
                <w:tab w:val="left" w:pos="3034"/>
              </w:tabs>
              <w:jc w:val="right"/>
            </w:pPr>
            <w:r>
              <w:t>57,6 mill. Euro</w:t>
            </w:r>
          </w:p>
        </w:tc>
        <w:tc>
          <w:tcPr>
            <w:tcW w:w="3002" w:type="dxa"/>
          </w:tcPr>
          <w:p w:rsidR="006B769B" w:rsidRDefault="006B769B" w:rsidP="00730EBB">
            <w:pPr>
              <w:tabs>
                <w:tab w:val="left" w:pos="3034"/>
              </w:tabs>
              <w:jc w:val="right"/>
            </w:pPr>
            <w:r>
              <w:t>54,5 mill. Euro</w:t>
            </w:r>
          </w:p>
        </w:tc>
      </w:tr>
      <w:tr w:rsidR="006B769B" w:rsidTr="00730EBB">
        <w:tc>
          <w:tcPr>
            <w:tcW w:w="3431" w:type="dxa"/>
          </w:tcPr>
          <w:p w:rsidR="006B769B" w:rsidRDefault="006B769B" w:rsidP="00EB5D3F">
            <w:r>
              <w:t>CO2 udledning i alt</w:t>
            </w:r>
          </w:p>
        </w:tc>
        <w:tc>
          <w:tcPr>
            <w:tcW w:w="3517" w:type="dxa"/>
          </w:tcPr>
          <w:p w:rsidR="006B769B" w:rsidRDefault="006B769B" w:rsidP="00730EBB">
            <w:pPr>
              <w:tabs>
                <w:tab w:val="left" w:pos="3034"/>
              </w:tabs>
              <w:jc w:val="right"/>
            </w:pPr>
            <w:r>
              <w:t>216.000 tons</w:t>
            </w:r>
          </w:p>
        </w:tc>
        <w:tc>
          <w:tcPr>
            <w:tcW w:w="3002" w:type="dxa"/>
          </w:tcPr>
          <w:p w:rsidR="006B769B" w:rsidRDefault="006B769B" w:rsidP="00730EBB">
            <w:pPr>
              <w:tabs>
                <w:tab w:val="left" w:pos="3034"/>
              </w:tabs>
              <w:jc w:val="right"/>
            </w:pPr>
            <w:r>
              <w:t>217.000 tons</w:t>
            </w:r>
          </w:p>
        </w:tc>
      </w:tr>
      <w:tr w:rsidR="006B769B" w:rsidTr="00730EBB">
        <w:tc>
          <w:tcPr>
            <w:tcW w:w="3431" w:type="dxa"/>
          </w:tcPr>
          <w:p w:rsidR="006B769B" w:rsidRDefault="006B769B" w:rsidP="00EB5D3F">
            <w:r>
              <w:t>CO2 udledning pr indbygger</w:t>
            </w:r>
          </w:p>
        </w:tc>
        <w:tc>
          <w:tcPr>
            <w:tcW w:w="3517" w:type="dxa"/>
          </w:tcPr>
          <w:p w:rsidR="006B769B" w:rsidRDefault="006B769B" w:rsidP="00730EBB">
            <w:pPr>
              <w:tabs>
                <w:tab w:val="left" w:pos="3034"/>
              </w:tabs>
              <w:jc w:val="right"/>
            </w:pPr>
            <w:r>
              <w:t>5,0 tons pr. indbygger</w:t>
            </w:r>
          </w:p>
        </w:tc>
        <w:tc>
          <w:tcPr>
            <w:tcW w:w="3002" w:type="dxa"/>
          </w:tcPr>
          <w:p w:rsidR="006B769B" w:rsidRDefault="006B769B" w:rsidP="00730EBB">
            <w:pPr>
              <w:tabs>
                <w:tab w:val="left" w:pos="3034"/>
              </w:tabs>
              <w:jc w:val="right"/>
            </w:pPr>
            <w:r>
              <w:t>5,2 tons pr. indbygger</w:t>
            </w:r>
          </w:p>
        </w:tc>
      </w:tr>
      <w:tr w:rsidR="006B769B" w:rsidTr="00730EBB">
        <w:tc>
          <w:tcPr>
            <w:tcW w:w="3431" w:type="dxa"/>
          </w:tcPr>
          <w:p w:rsidR="006B769B" w:rsidRDefault="006B769B" w:rsidP="00EB5D3F">
            <w:r>
              <w:t>% vedvarende energi konsumeret</w:t>
            </w:r>
          </w:p>
        </w:tc>
        <w:tc>
          <w:tcPr>
            <w:tcW w:w="3517" w:type="dxa"/>
          </w:tcPr>
          <w:p w:rsidR="006B769B" w:rsidRDefault="006B769B" w:rsidP="00730EBB">
            <w:pPr>
              <w:tabs>
                <w:tab w:val="left" w:pos="3034"/>
              </w:tabs>
              <w:jc w:val="right"/>
            </w:pPr>
            <w:r>
              <w:t>33 %</w:t>
            </w:r>
          </w:p>
        </w:tc>
        <w:tc>
          <w:tcPr>
            <w:tcW w:w="3002" w:type="dxa"/>
          </w:tcPr>
          <w:p w:rsidR="006B769B" w:rsidRDefault="006B769B" w:rsidP="00730EBB">
            <w:pPr>
              <w:tabs>
                <w:tab w:val="left" w:pos="3034"/>
              </w:tabs>
              <w:jc w:val="right"/>
            </w:pPr>
            <w:r>
              <w:t>39 %</w:t>
            </w:r>
          </w:p>
        </w:tc>
      </w:tr>
    </w:tbl>
    <w:p w:rsidR="006B769B" w:rsidRDefault="006B769B">
      <w:r>
        <w:t xml:space="preserve"> </w:t>
      </w:r>
    </w:p>
    <w:p w:rsidR="006B769B" w:rsidRDefault="006B769B">
      <w:r>
        <w:t>Desværre som det ses af skemaet er mængden af CO2 steget, hvilket yderligere forstærkes når det gøres op på indbyggertal, ved at øen samtidig er blevet affolket, men det kan forklares ved, at 2010 på flere områder var et unormalt år med strenge vintre og et søkabel brud.</w:t>
      </w:r>
    </w:p>
    <w:p w:rsidR="006B769B" w:rsidRDefault="006B769B"/>
    <w:p w:rsidR="006B769B" w:rsidRDefault="00F72891">
      <w:r>
        <w:rPr>
          <w:noProof/>
        </w:rPr>
        <w:pict>
          <v:shapetype id="_x0000_t202" coordsize="21600,21600" o:spt="202" path="m,l,21600r21600,l21600,xe">
            <v:stroke joinstyle="miter"/>
            <v:path gradientshapeok="t" o:connecttype="rect"/>
          </v:shapetype>
          <v:shape id="_x0000_s1026" type="#_x0000_t202" style="position:absolute;margin-left:276.4pt;margin-top:-.3pt;width:150.45pt;height:99pt;z-index:-251656704" wrapcoords="0 0 21600 0 21600 21600 0 21600 0 0" filled="f" stroked="f">
            <v:textbox style="mso-next-textbox:#_x0000_s1026">
              <w:txbxContent>
                <w:p w:rsidR="006B769B" w:rsidRPr="008F2017" w:rsidRDefault="006B769B" w:rsidP="00C533C1">
                  <w:pPr>
                    <w:rPr>
                      <w:i/>
                      <w:sz w:val="20"/>
                    </w:rPr>
                  </w:pPr>
                  <w:r w:rsidRPr="000020AE">
                    <w:rPr>
                      <w:i/>
                      <w:sz w:val="20"/>
                    </w:rPr>
                    <w:t>Figurerne</w:t>
                  </w:r>
                  <w:r>
                    <w:rPr>
                      <w:i/>
                      <w:sz w:val="20"/>
                    </w:rPr>
                    <w:t>, der illustrer</w:t>
                  </w:r>
                  <w:r w:rsidRPr="000020AE">
                    <w:rPr>
                      <w:i/>
                      <w:sz w:val="20"/>
                    </w:rPr>
                    <w:t>, hvor stor en del af Bornholms samlede energiforbrug, der er CO2 neutral og dermed g</w:t>
                  </w:r>
                  <w:r>
                    <w:rPr>
                      <w:i/>
                      <w:sz w:val="20"/>
                    </w:rPr>
                    <w:t>røn i henholdsvis 2005 og 2010 (</w:t>
                  </w:r>
                  <w:r w:rsidRPr="000020AE">
                    <w:rPr>
                      <w:i/>
                      <w:sz w:val="20"/>
                    </w:rPr>
                    <w:t>Målet er 100 % i 2025</w:t>
                  </w:r>
                  <w:r>
                    <w:rPr>
                      <w:i/>
                      <w:sz w:val="20"/>
                    </w:rPr>
                    <w:t>) viser, at der er sket en lille forøgelse af andelen af grøn energi</w:t>
                  </w:r>
                  <w:r w:rsidRPr="000020AE">
                    <w:rPr>
                      <w:i/>
                      <w:sz w:val="20"/>
                    </w:rPr>
                    <w:t>.</w:t>
                  </w:r>
                </w:p>
                <w:p w:rsidR="006B769B" w:rsidRDefault="006B769B" w:rsidP="00C533C1"/>
              </w:txbxContent>
            </v:textbox>
            <w10:wrap type="tight"/>
          </v:shape>
        </w:pict>
      </w:r>
      <w:r w:rsidR="002F743C">
        <w:rPr>
          <w:noProof/>
        </w:rPr>
        <w:drawing>
          <wp:anchor distT="0" distB="0" distL="114300" distR="114300" simplePos="0" relativeHeight="251657728" behindDoc="1" locked="0" layoutInCell="1" allowOverlap="0">
            <wp:simplePos x="0" y="0"/>
            <wp:positionH relativeFrom="column">
              <wp:posOffset>-19685</wp:posOffset>
            </wp:positionH>
            <wp:positionV relativeFrom="paragraph">
              <wp:posOffset>5715</wp:posOffset>
            </wp:positionV>
            <wp:extent cx="1152525" cy="1247775"/>
            <wp:effectExtent l="19050" t="0" r="9525" b="0"/>
            <wp:wrapTight wrapText="bothSides">
              <wp:wrapPolygon edited="0">
                <wp:start x="-357" y="0"/>
                <wp:lineTo x="-357" y="21435"/>
                <wp:lineTo x="21779" y="21435"/>
                <wp:lineTo x="21779" y="0"/>
                <wp:lineTo x="-357"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24251" t="15678" r="23431" b="11269"/>
                    <a:stretch>
                      <a:fillRect/>
                    </a:stretch>
                  </pic:blipFill>
                  <pic:spPr bwMode="auto">
                    <a:xfrm>
                      <a:off x="0" y="0"/>
                      <a:ext cx="1152525" cy="1247775"/>
                    </a:xfrm>
                    <a:prstGeom prst="rect">
                      <a:avLst/>
                    </a:prstGeom>
                    <a:noFill/>
                  </pic:spPr>
                </pic:pic>
              </a:graphicData>
            </a:graphic>
          </wp:anchor>
        </w:drawing>
      </w:r>
      <w:r w:rsidR="002F743C">
        <w:rPr>
          <w:noProof/>
        </w:rPr>
        <w:drawing>
          <wp:anchor distT="0" distB="0" distL="114300" distR="114300" simplePos="0" relativeHeight="251658752" behindDoc="1" locked="0" layoutInCell="1" allowOverlap="0">
            <wp:simplePos x="0" y="0"/>
            <wp:positionH relativeFrom="column">
              <wp:posOffset>1132205</wp:posOffset>
            </wp:positionH>
            <wp:positionV relativeFrom="paragraph">
              <wp:posOffset>15240</wp:posOffset>
            </wp:positionV>
            <wp:extent cx="1123950" cy="1238250"/>
            <wp:effectExtent l="19050" t="0" r="0" b="0"/>
            <wp:wrapTight wrapText="bothSides">
              <wp:wrapPolygon edited="0">
                <wp:start x="-366" y="0"/>
                <wp:lineTo x="-366" y="21268"/>
                <wp:lineTo x="21600" y="21268"/>
                <wp:lineTo x="21600" y="0"/>
                <wp:lineTo x="-366"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3837" t="14429" r="25072" b="10909"/>
                    <a:stretch>
                      <a:fillRect/>
                    </a:stretch>
                  </pic:blipFill>
                  <pic:spPr bwMode="auto">
                    <a:xfrm>
                      <a:off x="0" y="0"/>
                      <a:ext cx="1123950" cy="1238250"/>
                    </a:xfrm>
                    <a:prstGeom prst="rect">
                      <a:avLst/>
                    </a:prstGeom>
                    <a:noFill/>
                  </pic:spPr>
                </pic:pic>
              </a:graphicData>
            </a:graphic>
          </wp:anchor>
        </w:drawing>
      </w:r>
    </w:p>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r>
        <w:t xml:space="preserve">I 2010 var Bornholm særlig udsat for vintre med store snemasser. Først en meget sen og kold vinter med snedriver langt ind i april og efterfølgende med en usædvanlig tidlig og hård vinter startende allerede i november. Herudover blev søkablet, der normalt forsyner Bornholm med en væsentlig mængde strøm revet over i januar måned, hvilket betød at det lokale kraftværk i 5-6 uger gik i ø-drift og </w:t>
      </w:r>
      <w:r>
        <w:lastRenderedPageBreak/>
        <w:t xml:space="preserve">forsynede hele øen med strøm baseret på kulkraft. Når Bornholm er i ødrift slukkes samtidig for alle andre strømproducerende kilder (vindmøller, solceller e.c.t) da det skaber for meget ubalance i det sårbare netværk. Herudover blev det lokale kulkraftværk i 2010 ca. 200 gange bedt af energinet.dk (myndighed) at starte ekstra kedler op af hensyn til regulærkraften d.v.s. for at opretholde et gunstigt spændingsniveau i elnettet i hele Østdanmark og Sydsverige. I et normaltår sker det ca. 5 gange. Som det ses i ovenstående cirkeldiagrammer er andelen af energi fra vedvarende energikilder til gengæld i forhold til Bornholms samlede energi steget bl.a. p.g.a. fjernvarmeudbygning og opsætning af varmepumper udenfor fjernvarmeområderne samt idriftsættelse af et biogasanlæg. Der er også brugt mindre brændstof på landevejene i 2010 i forhold til 2005. </w:t>
      </w:r>
    </w:p>
    <w:p w:rsidR="006B769B" w:rsidRDefault="006B769B"/>
    <w:p w:rsidR="006B769B" w:rsidRDefault="00F72891">
      <w:r>
        <w:rPr>
          <w:noProof/>
        </w:rPr>
        <w:pict>
          <v:shape id="_x0000_s1029" type="#_x0000_t202" style="position:absolute;margin-left:319.05pt;margin-top:6.85pt;width:162pt;height:297pt;z-index:-251660800" wrapcoords="0 0 21600 0 21600 21600 0 21600 0 0" filled="f" stroked="f">
            <v:textbox style="mso-next-textbox:#_x0000_s1029">
              <w:txbxContent>
                <w:p w:rsidR="006B769B" w:rsidRPr="00500AAA" w:rsidRDefault="006B769B" w:rsidP="00500AAA">
                  <w:pPr>
                    <w:rPr>
                      <w:i/>
                      <w:sz w:val="20"/>
                    </w:rPr>
                  </w:pPr>
                  <w:r>
                    <w:rPr>
                      <w:i/>
                      <w:sz w:val="20"/>
                    </w:rPr>
                    <w:t>I</w:t>
                  </w:r>
                  <w:r w:rsidRPr="00500AAA">
                    <w:rPr>
                      <w:i/>
                      <w:sz w:val="20"/>
                    </w:rPr>
                    <w:t xml:space="preserve"> diagram ses de forskellige energikilder som Bornholm trak på i henholdsvis 2005 og 2010. Heraf fremgår det</w:t>
                  </w:r>
                  <w:r>
                    <w:rPr>
                      <w:i/>
                      <w:sz w:val="20"/>
                    </w:rPr>
                    <w:t>,</w:t>
                  </w:r>
                  <w:r w:rsidRPr="00500AAA">
                    <w:rPr>
                      <w:i/>
                      <w:sz w:val="20"/>
                    </w:rPr>
                    <w:t xml:space="preserve"> at el-importen var </w:t>
                  </w:r>
                  <w:r>
                    <w:rPr>
                      <w:i/>
                      <w:sz w:val="20"/>
                    </w:rPr>
                    <w:t>lavere i 2010</w:t>
                  </w:r>
                  <w:r w:rsidRPr="00500AAA">
                    <w:rPr>
                      <w:i/>
                      <w:sz w:val="20"/>
                    </w:rPr>
                    <w:t>. Det skyldes</w:t>
                  </w:r>
                  <w:r>
                    <w:rPr>
                      <w:i/>
                      <w:sz w:val="20"/>
                    </w:rPr>
                    <w:t xml:space="preserve"> at Østkraft producerede </w:t>
                  </w:r>
                  <w:r w:rsidRPr="00500AAA">
                    <w:rPr>
                      <w:i/>
                      <w:sz w:val="20"/>
                    </w:rPr>
                    <w:t>en større del af strømmen end normalt</w:t>
                  </w:r>
                  <w:r>
                    <w:rPr>
                      <w:i/>
                      <w:sz w:val="20"/>
                    </w:rPr>
                    <w:t xml:space="preserve"> p.g.a kabelnedbrud</w:t>
                  </w:r>
                  <w:r w:rsidRPr="00500AAA">
                    <w:rPr>
                      <w:i/>
                      <w:sz w:val="20"/>
                    </w:rPr>
                    <w:t xml:space="preserve">. Det </w:t>
                  </w:r>
                  <w:r>
                    <w:rPr>
                      <w:i/>
                      <w:sz w:val="20"/>
                    </w:rPr>
                    <w:t>forklarer også</w:t>
                  </w:r>
                  <w:r w:rsidRPr="00500AAA">
                    <w:rPr>
                      <w:i/>
                      <w:sz w:val="20"/>
                    </w:rPr>
                    <w:t xml:space="preserve"> det større kulforbrug. Diagrammet viser også at dieselforbruget er steget, men at benzinforbruget til gengæld er faldet markant. Mere energi er kommet fra gylle via et større biogasanlæg, der er kommet op at køre i den mellemliggende periode</w:t>
                  </w:r>
                  <w:r>
                    <w:rPr>
                      <w:i/>
                      <w:sz w:val="20"/>
                    </w:rPr>
                    <w:t xml:space="preserve"> og der er også kommet mere vindenergi</w:t>
                  </w:r>
                  <w:r w:rsidRPr="00500AAA">
                    <w:rPr>
                      <w:i/>
                      <w:sz w:val="20"/>
                    </w:rPr>
                    <w:t>. En større mængde af Bornholms energi stammer fra halm i 2010 i forhold til 2005, hvilket kan tilskrives udbygning af fjernvarmenettet og ligeledes er mængden af importeret biobrændsler steget, hvilket kan tilskrives Østkrafts øgede forbrug af flis i sit kraftvarmeværk. Stigningen i individuelle varmepumper på 98 % er endnu så ubetydelig lille at det ikke er synligt i det samlede billede af Bornholms energiforbrug. Solenergi og affaldsforbrænding har været konstant i den indeværende periode.</w:t>
                  </w:r>
                </w:p>
                <w:p w:rsidR="006B769B" w:rsidRDefault="006B769B"/>
              </w:txbxContent>
            </v:textbox>
            <w10:wrap type="tight"/>
          </v:shape>
        </w:pict>
      </w:r>
      <w:r w:rsidR="002F743C">
        <w:rPr>
          <w:noProof/>
        </w:rPr>
        <w:drawing>
          <wp:anchor distT="0" distB="0" distL="114300" distR="114300" simplePos="0" relativeHeight="251656704" behindDoc="1" locked="0" layoutInCell="1" allowOverlap="1">
            <wp:simplePos x="0" y="0"/>
            <wp:positionH relativeFrom="column">
              <wp:posOffset>28575</wp:posOffset>
            </wp:positionH>
            <wp:positionV relativeFrom="paragraph">
              <wp:posOffset>34290</wp:posOffset>
            </wp:positionV>
            <wp:extent cx="3757930" cy="3205480"/>
            <wp:effectExtent l="19050" t="0" r="0" b="0"/>
            <wp:wrapTight wrapText="bothSides">
              <wp:wrapPolygon edited="0">
                <wp:start x="-109" y="0"/>
                <wp:lineTo x="-109" y="21437"/>
                <wp:lineTo x="21571" y="21437"/>
                <wp:lineTo x="21571" y="0"/>
                <wp:lineTo x="-109"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3053" t="10086" r="4994" b="2502"/>
                    <a:stretch>
                      <a:fillRect/>
                    </a:stretch>
                  </pic:blipFill>
                  <pic:spPr bwMode="auto">
                    <a:xfrm>
                      <a:off x="0" y="0"/>
                      <a:ext cx="3757930" cy="3205480"/>
                    </a:xfrm>
                    <a:prstGeom prst="rect">
                      <a:avLst/>
                    </a:prstGeom>
                    <a:noFill/>
                  </pic:spPr>
                </pic:pic>
              </a:graphicData>
            </a:graphic>
          </wp:anchor>
        </w:drawing>
      </w:r>
    </w:p>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 w:rsidR="006B769B" w:rsidRDefault="006B769B">
      <w:pPr>
        <w:rPr>
          <w:szCs w:val="24"/>
        </w:rPr>
      </w:pPr>
    </w:p>
    <w:sectPr w:rsidR="006B769B" w:rsidSect="00950546">
      <w:footerReference w:type="even"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9B" w:rsidRDefault="006B769B">
      <w:r>
        <w:separator/>
      </w:r>
    </w:p>
  </w:endnote>
  <w:endnote w:type="continuationSeparator" w:id="0">
    <w:p w:rsidR="006B769B" w:rsidRDefault="006B7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9B" w:rsidRDefault="00F72891" w:rsidP="00BA1738">
    <w:pPr>
      <w:pStyle w:val="Sidefod"/>
      <w:framePr w:wrap="around" w:vAnchor="text" w:hAnchor="margin" w:xAlign="right" w:y="1"/>
      <w:rPr>
        <w:rStyle w:val="Sidetal"/>
        <w:rFonts w:cs="Tahoma"/>
      </w:rPr>
    </w:pPr>
    <w:r>
      <w:rPr>
        <w:rStyle w:val="Sidetal"/>
        <w:rFonts w:cs="Tahoma"/>
      </w:rPr>
      <w:fldChar w:fldCharType="begin"/>
    </w:r>
    <w:r w:rsidR="006B769B">
      <w:rPr>
        <w:rStyle w:val="Sidetal"/>
        <w:rFonts w:cs="Tahoma"/>
      </w:rPr>
      <w:instrText xml:space="preserve">PAGE  </w:instrText>
    </w:r>
    <w:r>
      <w:rPr>
        <w:rStyle w:val="Sidetal"/>
        <w:rFonts w:cs="Tahoma"/>
      </w:rPr>
      <w:fldChar w:fldCharType="end"/>
    </w:r>
  </w:p>
  <w:p w:rsidR="006B769B" w:rsidRDefault="006B769B" w:rsidP="00BA1738">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9B" w:rsidRDefault="00F72891" w:rsidP="00BA1738">
    <w:pPr>
      <w:pStyle w:val="Sidefod"/>
      <w:framePr w:wrap="around" w:vAnchor="text" w:hAnchor="margin" w:xAlign="right" w:y="1"/>
      <w:rPr>
        <w:rStyle w:val="Sidetal"/>
        <w:rFonts w:cs="Tahoma"/>
      </w:rPr>
    </w:pPr>
    <w:r>
      <w:rPr>
        <w:rStyle w:val="Sidetal"/>
        <w:rFonts w:cs="Tahoma"/>
      </w:rPr>
      <w:fldChar w:fldCharType="begin"/>
    </w:r>
    <w:r w:rsidR="006B769B">
      <w:rPr>
        <w:rStyle w:val="Sidetal"/>
        <w:rFonts w:cs="Tahoma"/>
      </w:rPr>
      <w:instrText xml:space="preserve">PAGE  </w:instrText>
    </w:r>
    <w:r>
      <w:rPr>
        <w:rStyle w:val="Sidetal"/>
        <w:rFonts w:cs="Tahoma"/>
      </w:rPr>
      <w:fldChar w:fldCharType="separate"/>
    </w:r>
    <w:r w:rsidR="002F743C">
      <w:rPr>
        <w:rStyle w:val="Sidetal"/>
        <w:rFonts w:cs="Tahoma"/>
        <w:noProof/>
      </w:rPr>
      <w:t>1</w:t>
    </w:r>
    <w:r>
      <w:rPr>
        <w:rStyle w:val="Sidetal"/>
        <w:rFonts w:cs="Tahoma"/>
      </w:rPr>
      <w:fldChar w:fldCharType="end"/>
    </w:r>
  </w:p>
  <w:p w:rsidR="006B769B" w:rsidRDefault="006B769B" w:rsidP="00BA1738">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9B" w:rsidRDefault="006B769B">
      <w:r>
        <w:separator/>
      </w:r>
    </w:p>
  </w:footnote>
  <w:footnote w:type="continuationSeparator" w:id="0">
    <w:p w:rsidR="006B769B" w:rsidRDefault="006B7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44"/>
    <w:multiLevelType w:val="hybridMultilevel"/>
    <w:tmpl w:val="FC52981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04F96A4D"/>
    <w:multiLevelType w:val="hybridMultilevel"/>
    <w:tmpl w:val="92987B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78514C"/>
    <w:multiLevelType w:val="hybridMultilevel"/>
    <w:tmpl w:val="29480C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B0A2D5B"/>
    <w:multiLevelType w:val="hybridMultilevel"/>
    <w:tmpl w:val="9B44EC56"/>
    <w:lvl w:ilvl="0" w:tplc="C944E1D4">
      <w:start w:val="1"/>
      <w:numFmt w:val="decimal"/>
      <w:pStyle w:val="BRK-punktoverskrift"/>
      <w:lvlText w:val="%1."/>
      <w:lvlJc w:val="left"/>
      <w:pPr>
        <w:tabs>
          <w:tab w:val="num" w:pos="425"/>
        </w:tabs>
        <w:ind w:left="425" w:hanging="425"/>
      </w:pPr>
      <w:rPr>
        <w:rFonts w:ascii="Garamond" w:hAnsi="Garamond" w:cs="Times New Roman" w:hint="default"/>
        <w:b/>
        <w:i w:val="0"/>
        <w:sz w:val="24"/>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nsid w:val="0CBB107C"/>
    <w:multiLevelType w:val="hybridMultilevel"/>
    <w:tmpl w:val="45EA7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1B1583F"/>
    <w:multiLevelType w:val="hybridMultilevel"/>
    <w:tmpl w:val="7BAE2C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455344F"/>
    <w:multiLevelType w:val="hybridMultilevel"/>
    <w:tmpl w:val="CC6A7FE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4CA3DAE"/>
    <w:multiLevelType w:val="hybridMultilevel"/>
    <w:tmpl w:val="5DEC7A0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7C5226B"/>
    <w:multiLevelType w:val="hybridMultilevel"/>
    <w:tmpl w:val="3B56A4F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1857682B"/>
    <w:multiLevelType w:val="hybridMultilevel"/>
    <w:tmpl w:val="124433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1B03774E"/>
    <w:multiLevelType w:val="hybridMultilevel"/>
    <w:tmpl w:val="70A4E5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1F437C42"/>
    <w:multiLevelType w:val="hybridMultilevel"/>
    <w:tmpl w:val="972604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539289D"/>
    <w:multiLevelType w:val="hybridMultilevel"/>
    <w:tmpl w:val="7B9C8EB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2628768F"/>
    <w:multiLevelType w:val="hybridMultilevel"/>
    <w:tmpl w:val="E2184F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7DF5C28"/>
    <w:multiLevelType w:val="hybridMultilevel"/>
    <w:tmpl w:val="392CA3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39649A0"/>
    <w:multiLevelType w:val="hybridMultilevel"/>
    <w:tmpl w:val="61BCC6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381E50"/>
    <w:multiLevelType w:val="hybridMultilevel"/>
    <w:tmpl w:val="35C2E1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0581F4D"/>
    <w:multiLevelType w:val="hybridMultilevel"/>
    <w:tmpl w:val="229647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3776E98"/>
    <w:multiLevelType w:val="hybridMultilevel"/>
    <w:tmpl w:val="007AA6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4AD661E"/>
    <w:multiLevelType w:val="hybridMultilevel"/>
    <w:tmpl w:val="CB56440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0">
    <w:nsid w:val="46917DC5"/>
    <w:multiLevelType w:val="hybridMultilevel"/>
    <w:tmpl w:val="67F6B95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47C06337"/>
    <w:multiLevelType w:val="hybridMultilevel"/>
    <w:tmpl w:val="E5848B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4A3A603F"/>
    <w:multiLevelType w:val="hybridMultilevel"/>
    <w:tmpl w:val="1F6CB4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4B6B1ED3"/>
    <w:multiLevelType w:val="hybridMultilevel"/>
    <w:tmpl w:val="8D0466D2"/>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4B7334DC"/>
    <w:multiLevelType w:val="hybridMultilevel"/>
    <w:tmpl w:val="3DC055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4BAA0BC3"/>
    <w:multiLevelType w:val="hybridMultilevel"/>
    <w:tmpl w:val="E48678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C080379"/>
    <w:multiLevelType w:val="multilevel"/>
    <w:tmpl w:val="82E874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991032"/>
    <w:multiLevelType w:val="hybridMultilevel"/>
    <w:tmpl w:val="2B86FD5C"/>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F">
      <w:start w:val="1"/>
      <w:numFmt w:val="decimal"/>
      <w:lvlText w:val="%4."/>
      <w:lvlJc w:val="left"/>
      <w:pPr>
        <w:tabs>
          <w:tab w:val="num" w:pos="2880"/>
        </w:tabs>
        <w:ind w:left="2880" w:hanging="360"/>
      </w:pPr>
      <w:rPr>
        <w:rFonts w:cs="Times New Roman"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4EEF59BE"/>
    <w:multiLevelType w:val="hybridMultilevel"/>
    <w:tmpl w:val="20AA8A8E"/>
    <w:lvl w:ilvl="0" w:tplc="8F321508">
      <w:start w:val="1"/>
      <w:numFmt w:val="decimal"/>
      <w:lvlText w:val="%1."/>
      <w:lvlJc w:val="left"/>
      <w:pPr>
        <w:tabs>
          <w:tab w:val="num" w:pos="360"/>
        </w:tabs>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9">
    <w:nsid w:val="50D2519E"/>
    <w:multiLevelType w:val="hybridMultilevel"/>
    <w:tmpl w:val="B98813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8255E9A"/>
    <w:multiLevelType w:val="hybridMultilevel"/>
    <w:tmpl w:val="2750A1F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nsid w:val="587E1B49"/>
    <w:multiLevelType w:val="multilevel"/>
    <w:tmpl w:val="CB7E20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BC4263A"/>
    <w:multiLevelType w:val="hybridMultilevel"/>
    <w:tmpl w:val="85FCB5B8"/>
    <w:lvl w:ilvl="0" w:tplc="0406000F">
      <w:start w:val="1"/>
      <w:numFmt w:val="decimal"/>
      <w:lvlText w:val="%1."/>
      <w:lvlJc w:val="left"/>
      <w:pPr>
        <w:tabs>
          <w:tab w:val="num" w:pos="720"/>
        </w:tabs>
        <w:ind w:left="720" w:hanging="360"/>
      </w:pPr>
      <w:rPr>
        <w:rFonts w:cs="Times New Roman"/>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3">
    <w:nsid w:val="6241361A"/>
    <w:multiLevelType w:val="hybridMultilevel"/>
    <w:tmpl w:val="6262BE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3725D3C"/>
    <w:multiLevelType w:val="hybridMultilevel"/>
    <w:tmpl w:val="2DB004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642657EC"/>
    <w:multiLevelType w:val="hybridMultilevel"/>
    <w:tmpl w:val="6C84A0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54B4A3E"/>
    <w:multiLevelType w:val="hybridMultilevel"/>
    <w:tmpl w:val="E0A493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667316D9"/>
    <w:multiLevelType w:val="hybridMultilevel"/>
    <w:tmpl w:val="43128C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6ABD2602"/>
    <w:multiLevelType w:val="hybridMultilevel"/>
    <w:tmpl w:val="CD1E8A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6B8C2ACD"/>
    <w:multiLevelType w:val="hybridMultilevel"/>
    <w:tmpl w:val="496E81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6D483372"/>
    <w:multiLevelType w:val="multilevel"/>
    <w:tmpl w:val="4C78272A"/>
    <w:lvl w:ilvl="0">
      <w:start w:val="1"/>
      <w:numFmt w:val="decimal"/>
      <w:lvlText w:val="%1"/>
      <w:lvlJc w:val="left"/>
      <w:pPr>
        <w:tabs>
          <w:tab w:val="num" w:pos="471"/>
        </w:tabs>
        <w:ind w:left="471" w:hanging="1322"/>
      </w:pPr>
      <w:rPr>
        <w:rFonts w:cs="Times New Roman" w:hint="default"/>
      </w:rPr>
    </w:lvl>
    <w:lvl w:ilvl="1">
      <w:start w:val="1"/>
      <w:numFmt w:val="decimal"/>
      <w:lvlRestart w:val="0"/>
      <w:lvlText w:val="%2"/>
      <w:lvlJc w:val="left"/>
      <w:pPr>
        <w:tabs>
          <w:tab w:val="num" w:pos="-491"/>
        </w:tabs>
        <w:ind w:left="-1571" w:firstLine="720"/>
      </w:pPr>
      <w:rPr>
        <w:rFonts w:cs="Times New Roman" w:hint="default"/>
      </w:rPr>
    </w:lvl>
    <w:lvl w:ilvl="2">
      <w:start w:val="1"/>
      <w:numFmt w:val="decimal"/>
      <w:lvlText w:val="%2.%3"/>
      <w:lvlJc w:val="left"/>
      <w:pPr>
        <w:tabs>
          <w:tab w:val="num" w:pos="-131"/>
        </w:tabs>
        <w:ind w:left="-131" w:hanging="720"/>
      </w:pPr>
      <w:rPr>
        <w:rFonts w:cs="Times New Roman" w:hint="default"/>
      </w:rPr>
    </w:lvl>
    <w:lvl w:ilvl="3">
      <w:start w:val="1"/>
      <w:numFmt w:val="decimal"/>
      <w:lvlText w:val="%1.%2.%3.%4"/>
      <w:lvlJc w:val="left"/>
      <w:pPr>
        <w:tabs>
          <w:tab w:val="num" w:pos="13"/>
        </w:tabs>
        <w:ind w:left="13" w:hanging="864"/>
      </w:pPr>
      <w:rPr>
        <w:rFonts w:cs="Times New Roman" w:hint="default"/>
      </w:rPr>
    </w:lvl>
    <w:lvl w:ilvl="4">
      <w:start w:val="1"/>
      <w:numFmt w:val="decimal"/>
      <w:lvlText w:val="%1.%2.%3.%4.%5"/>
      <w:lvlJc w:val="left"/>
      <w:pPr>
        <w:tabs>
          <w:tab w:val="num" w:pos="157"/>
        </w:tabs>
        <w:ind w:left="157" w:hanging="1008"/>
      </w:pPr>
      <w:rPr>
        <w:rFonts w:cs="Times New Roman" w:hint="default"/>
      </w:rPr>
    </w:lvl>
    <w:lvl w:ilvl="5">
      <w:start w:val="1"/>
      <w:numFmt w:val="decimal"/>
      <w:lvlText w:val="%1.%2.%3.%4.%5.%6"/>
      <w:lvlJc w:val="left"/>
      <w:pPr>
        <w:tabs>
          <w:tab w:val="num" w:pos="301"/>
        </w:tabs>
        <w:ind w:left="301" w:hanging="1152"/>
      </w:pPr>
      <w:rPr>
        <w:rFonts w:cs="Times New Roman" w:hint="default"/>
      </w:rPr>
    </w:lvl>
    <w:lvl w:ilvl="6">
      <w:start w:val="1"/>
      <w:numFmt w:val="decimal"/>
      <w:lvlText w:val="%1.%2.%3.%4.%5.%6.%7"/>
      <w:lvlJc w:val="left"/>
      <w:pPr>
        <w:tabs>
          <w:tab w:val="num" w:pos="445"/>
        </w:tabs>
        <w:ind w:left="445" w:hanging="1296"/>
      </w:pPr>
      <w:rPr>
        <w:rFonts w:cs="Times New Roman" w:hint="default"/>
      </w:rPr>
    </w:lvl>
    <w:lvl w:ilvl="7">
      <w:start w:val="1"/>
      <w:numFmt w:val="decimal"/>
      <w:lvlText w:val="%1.%2.%3.%4.%5.%6.%7.%8"/>
      <w:lvlJc w:val="left"/>
      <w:pPr>
        <w:tabs>
          <w:tab w:val="num" w:pos="589"/>
        </w:tabs>
        <w:ind w:left="589" w:hanging="1440"/>
      </w:pPr>
      <w:rPr>
        <w:rFonts w:cs="Times New Roman" w:hint="default"/>
      </w:rPr>
    </w:lvl>
    <w:lvl w:ilvl="8">
      <w:start w:val="1"/>
      <w:numFmt w:val="decimal"/>
      <w:lvlText w:val="%1.%2.%3.%4.%5.%6.%7.%8.%9"/>
      <w:lvlJc w:val="left"/>
      <w:pPr>
        <w:tabs>
          <w:tab w:val="num" w:pos="733"/>
        </w:tabs>
        <w:ind w:left="733" w:hanging="1584"/>
      </w:pPr>
      <w:rPr>
        <w:rFonts w:cs="Times New Roman" w:hint="default"/>
      </w:rPr>
    </w:lvl>
  </w:abstractNum>
  <w:abstractNum w:abstractNumId="41">
    <w:nsid w:val="7117544C"/>
    <w:multiLevelType w:val="hybridMultilevel"/>
    <w:tmpl w:val="58FAF0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1255FBB"/>
    <w:multiLevelType w:val="hybridMultilevel"/>
    <w:tmpl w:val="9968AE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nsid w:val="7529019C"/>
    <w:multiLevelType w:val="hybridMultilevel"/>
    <w:tmpl w:val="E8549B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7B23FA2"/>
    <w:multiLevelType w:val="multilevel"/>
    <w:tmpl w:val="8D0466D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9824B40"/>
    <w:multiLevelType w:val="hybridMultilevel"/>
    <w:tmpl w:val="13143A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7B037467"/>
    <w:multiLevelType w:val="hybridMultilevel"/>
    <w:tmpl w:val="DA6868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40"/>
  </w:num>
  <w:num w:numId="4">
    <w:abstractNumId w:val="40"/>
  </w:num>
  <w:num w:numId="5">
    <w:abstractNumId w:val="45"/>
  </w:num>
  <w:num w:numId="6">
    <w:abstractNumId w:val="5"/>
  </w:num>
  <w:num w:numId="7">
    <w:abstractNumId w:val="29"/>
  </w:num>
  <w:num w:numId="8">
    <w:abstractNumId w:val="24"/>
  </w:num>
  <w:num w:numId="9">
    <w:abstractNumId w:val="41"/>
  </w:num>
  <w:num w:numId="10">
    <w:abstractNumId w:val="17"/>
  </w:num>
  <w:num w:numId="11">
    <w:abstractNumId w:val="8"/>
  </w:num>
  <w:num w:numId="12">
    <w:abstractNumId w:val="30"/>
  </w:num>
  <w:num w:numId="13">
    <w:abstractNumId w:val="6"/>
  </w:num>
  <w:num w:numId="14">
    <w:abstractNumId w:val="7"/>
  </w:num>
  <w:num w:numId="15">
    <w:abstractNumId w:val="23"/>
  </w:num>
  <w:num w:numId="16">
    <w:abstractNumId w:val="44"/>
  </w:num>
  <w:num w:numId="17">
    <w:abstractNumId w:val="35"/>
  </w:num>
  <w:num w:numId="18">
    <w:abstractNumId w:val="13"/>
  </w:num>
  <w:num w:numId="19">
    <w:abstractNumId w:val="46"/>
  </w:num>
  <w:num w:numId="20">
    <w:abstractNumId w:val="37"/>
  </w:num>
  <w:num w:numId="21">
    <w:abstractNumId w:val="10"/>
  </w:num>
  <w:num w:numId="22">
    <w:abstractNumId w:val="26"/>
  </w:num>
  <w:num w:numId="23">
    <w:abstractNumId w:val="11"/>
  </w:num>
  <w:num w:numId="24">
    <w:abstractNumId w:val="16"/>
  </w:num>
  <w:num w:numId="25">
    <w:abstractNumId w:val="2"/>
  </w:num>
  <w:num w:numId="26">
    <w:abstractNumId w:val="43"/>
  </w:num>
  <w:num w:numId="27">
    <w:abstractNumId w:val="21"/>
  </w:num>
  <w:num w:numId="28">
    <w:abstractNumId w:val="14"/>
  </w:num>
  <w:num w:numId="29">
    <w:abstractNumId w:val="15"/>
  </w:num>
  <w:num w:numId="30">
    <w:abstractNumId w:val="25"/>
  </w:num>
  <w:num w:numId="31">
    <w:abstractNumId w:val="4"/>
  </w:num>
  <w:num w:numId="32">
    <w:abstractNumId w:val="22"/>
  </w:num>
  <w:num w:numId="33">
    <w:abstractNumId w:val="33"/>
  </w:num>
  <w:num w:numId="34">
    <w:abstractNumId w:val="38"/>
  </w:num>
  <w:num w:numId="35">
    <w:abstractNumId w:val="9"/>
  </w:num>
  <w:num w:numId="36">
    <w:abstractNumId w:val="42"/>
  </w:num>
  <w:num w:numId="37">
    <w:abstractNumId w:val="1"/>
  </w:num>
  <w:num w:numId="38">
    <w:abstractNumId w:val="39"/>
  </w:num>
  <w:num w:numId="39">
    <w:abstractNumId w:val="18"/>
  </w:num>
  <w:num w:numId="40">
    <w:abstractNumId w:val="32"/>
  </w:num>
  <w:num w:numId="41">
    <w:abstractNumId w:val="19"/>
  </w:num>
  <w:num w:numId="42">
    <w:abstractNumId w:val="27"/>
  </w:num>
  <w:num w:numId="43">
    <w:abstractNumId w:val="34"/>
  </w:num>
  <w:num w:numId="44">
    <w:abstractNumId w:val="0"/>
  </w:num>
  <w:num w:numId="45">
    <w:abstractNumId w:val="20"/>
  </w:num>
  <w:num w:numId="46">
    <w:abstractNumId w:val="36"/>
  </w:num>
  <w:num w:numId="47">
    <w:abstractNumId w:val="31"/>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BB0000"/>
    <w:rsid w:val="000020AE"/>
    <w:rsid w:val="00003381"/>
    <w:rsid w:val="0000518C"/>
    <w:rsid w:val="00011397"/>
    <w:rsid w:val="00015057"/>
    <w:rsid w:val="000167AC"/>
    <w:rsid w:val="00022607"/>
    <w:rsid w:val="00023051"/>
    <w:rsid w:val="00025C3D"/>
    <w:rsid w:val="000279B7"/>
    <w:rsid w:val="00027A19"/>
    <w:rsid w:val="00031D5B"/>
    <w:rsid w:val="00032DDA"/>
    <w:rsid w:val="00034143"/>
    <w:rsid w:val="00043919"/>
    <w:rsid w:val="00045F9A"/>
    <w:rsid w:val="0005200E"/>
    <w:rsid w:val="00064DCB"/>
    <w:rsid w:val="0006601F"/>
    <w:rsid w:val="00066C6D"/>
    <w:rsid w:val="00072CE5"/>
    <w:rsid w:val="000730E6"/>
    <w:rsid w:val="000802CE"/>
    <w:rsid w:val="0008043D"/>
    <w:rsid w:val="00081C85"/>
    <w:rsid w:val="00084AF3"/>
    <w:rsid w:val="00093767"/>
    <w:rsid w:val="000954E0"/>
    <w:rsid w:val="000A1A40"/>
    <w:rsid w:val="000A1EC7"/>
    <w:rsid w:val="000A686E"/>
    <w:rsid w:val="000B06F3"/>
    <w:rsid w:val="000C5D0A"/>
    <w:rsid w:val="000C6B2F"/>
    <w:rsid w:val="000D1D48"/>
    <w:rsid w:val="000D22D6"/>
    <w:rsid w:val="000D2E93"/>
    <w:rsid w:val="000D3753"/>
    <w:rsid w:val="000D753D"/>
    <w:rsid w:val="000E30C3"/>
    <w:rsid w:val="000E642B"/>
    <w:rsid w:val="000E6610"/>
    <w:rsid w:val="000F0263"/>
    <w:rsid w:val="000F0B65"/>
    <w:rsid w:val="000F0F1B"/>
    <w:rsid w:val="000F2E4D"/>
    <w:rsid w:val="00104808"/>
    <w:rsid w:val="00107FD8"/>
    <w:rsid w:val="00110D55"/>
    <w:rsid w:val="001129FE"/>
    <w:rsid w:val="00113259"/>
    <w:rsid w:val="00114DF1"/>
    <w:rsid w:val="001162D7"/>
    <w:rsid w:val="00116749"/>
    <w:rsid w:val="0012362B"/>
    <w:rsid w:val="00124187"/>
    <w:rsid w:val="00124AAF"/>
    <w:rsid w:val="00126B3B"/>
    <w:rsid w:val="001335B0"/>
    <w:rsid w:val="00133698"/>
    <w:rsid w:val="00133A63"/>
    <w:rsid w:val="0013559C"/>
    <w:rsid w:val="001358F8"/>
    <w:rsid w:val="00155E34"/>
    <w:rsid w:val="0015695F"/>
    <w:rsid w:val="00157225"/>
    <w:rsid w:val="001607B3"/>
    <w:rsid w:val="00162434"/>
    <w:rsid w:val="00162D87"/>
    <w:rsid w:val="001634FD"/>
    <w:rsid w:val="00165170"/>
    <w:rsid w:val="00166038"/>
    <w:rsid w:val="00167A3D"/>
    <w:rsid w:val="001726A5"/>
    <w:rsid w:val="00174330"/>
    <w:rsid w:val="001776B5"/>
    <w:rsid w:val="00181B77"/>
    <w:rsid w:val="00181BF3"/>
    <w:rsid w:val="00184358"/>
    <w:rsid w:val="001877C9"/>
    <w:rsid w:val="00187B5A"/>
    <w:rsid w:val="001948FE"/>
    <w:rsid w:val="00196759"/>
    <w:rsid w:val="001A42C5"/>
    <w:rsid w:val="001A485A"/>
    <w:rsid w:val="001B326E"/>
    <w:rsid w:val="001C11C0"/>
    <w:rsid w:val="001C53B3"/>
    <w:rsid w:val="001D27DA"/>
    <w:rsid w:val="001D3741"/>
    <w:rsid w:val="001D7F22"/>
    <w:rsid w:val="001F0ACF"/>
    <w:rsid w:val="001F64C6"/>
    <w:rsid w:val="0020138D"/>
    <w:rsid w:val="00201C2B"/>
    <w:rsid w:val="00220D61"/>
    <w:rsid w:val="002255C7"/>
    <w:rsid w:val="00231C0B"/>
    <w:rsid w:val="00231F84"/>
    <w:rsid w:val="00234879"/>
    <w:rsid w:val="00235BDF"/>
    <w:rsid w:val="002407FD"/>
    <w:rsid w:val="00242E5C"/>
    <w:rsid w:val="00244706"/>
    <w:rsid w:val="002451DC"/>
    <w:rsid w:val="0026358A"/>
    <w:rsid w:val="00270E56"/>
    <w:rsid w:val="0028705F"/>
    <w:rsid w:val="00297E9B"/>
    <w:rsid w:val="002A184D"/>
    <w:rsid w:val="002A6AB7"/>
    <w:rsid w:val="002A79D9"/>
    <w:rsid w:val="002B193F"/>
    <w:rsid w:val="002B2811"/>
    <w:rsid w:val="002B493E"/>
    <w:rsid w:val="002B781D"/>
    <w:rsid w:val="002C0B65"/>
    <w:rsid w:val="002C5C11"/>
    <w:rsid w:val="002C5EE0"/>
    <w:rsid w:val="002C6B87"/>
    <w:rsid w:val="002C7D63"/>
    <w:rsid w:val="002D12C2"/>
    <w:rsid w:val="002D45D4"/>
    <w:rsid w:val="002D58F0"/>
    <w:rsid w:val="002E6781"/>
    <w:rsid w:val="002F4B2D"/>
    <w:rsid w:val="002F6130"/>
    <w:rsid w:val="002F743C"/>
    <w:rsid w:val="00302543"/>
    <w:rsid w:val="00307968"/>
    <w:rsid w:val="00311846"/>
    <w:rsid w:val="0031257C"/>
    <w:rsid w:val="00317678"/>
    <w:rsid w:val="00321552"/>
    <w:rsid w:val="00326C88"/>
    <w:rsid w:val="00327446"/>
    <w:rsid w:val="003326EF"/>
    <w:rsid w:val="00342E32"/>
    <w:rsid w:val="003443A8"/>
    <w:rsid w:val="003506D0"/>
    <w:rsid w:val="00351BCE"/>
    <w:rsid w:val="00351EEE"/>
    <w:rsid w:val="003601B6"/>
    <w:rsid w:val="00360553"/>
    <w:rsid w:val="003619C2"/>
    <w:rsid w:val="00361EA5"/>
    <w:rsid w:val="003648BC"/>
    <w:rsid w:val="00366F14"/>
    <w:rsid w:val="00367B84"/>
    <w:rsid w:val="00372226"/>
    <w:rsid w:val="00373357"/>
    <w:rsid w:val="003738A3"/>
    <w:rsid w:val="0037510F"/>
    <w:rsid w:val="00376489"/>
    <w:rsid w:val="00381929"/>
    <w:rsid w:val="00383D8A"/>
    <w:rsid w:val="0038634D"/>
    <w:rsid w:val="00392D86"/>
    <w:rsid w:val="003949FD"/>
    <w:rsid w:val="00394D9B"/>
    <w:rsid w:val="0039567D"/>
    <w:rsid w:val="00395DFD"/>
    <w:rsid w:val="003A5940"/>
    <w:rsid w:val="003B1A35"/>
    <w:rsid w:val="003B1DA4"/>
    <w:rsid w:val="003B679B"/>
    <w:rsid w:val="003C5753"/>
    <w:rsid w:val="003C5D1B"/>
    <w:rsid w:val="003C6C23"/>
    <w:rsid w:val="003C6F73"/>
    <w:rsid w:val="003C76E3"/>
    <w:rsid w:val="003D535A"/>
    <w:rsid w:val="003D7757"/>
    <w:rsid w:val="003E0058"/>
    <w:rsid w:val="003E5F85"/>
    <w:rsid w:val="003F103C"/>
    <w:rsid w:val="003F3EFA"/>
    <w:rsid w:val="003F500D"/>
    <w:rsid w:val="004135B6"/>
    <w:rsid w:val="00414CF6"/>
    <w:rsid w:val="00415697"/>
    <w:rsid w:val="00427A84"/>
    <w:rsid w:val="00431B8C"/>
    <w:rsid w:val="0044250E"/>
    <w:rsid w:val="00445D30"/>
    <w:rsid w:val="00453531"/>
    <w:rsid w:val="00460C0F"/>
    <w:rsid w:val="00463CB6"/>
    <w:rsid w:val="00464D67"/>
    <w:rsid w:val="00465B5E"/>
    <w:rsid w:val="00466FDD"/>
    <w:rsid w:val="00480204"/>
    <w:rsid w:val="00480CDD"/>
    <w:rsid w:val="00482C81"/>
    <w:rsid w:val="00483EDD"/>
    <w:rsid w:val="004871B4"/>
    <w:rsid w:val="00493830"/>
    <w:rsid w:val="00493EFF"/>
    <w:rsid w:val="00496729"/>
    <w:rsid w:val="004A3179"/>
    <w:rsid w:val="004A5EFE"/>
    <w:rsid w:val="004A7D62"/>
    <w:rsid w:val="004C2038"/>
    <w:rsid w:val="004C4C97"/>
    <w:rsid w:val="004C7562"/>
    <w:rsid w:val="004D2F5A"/>
    <w:rsid w:val="004D6948"/>
    <w:rsid w:val="004F1165"/>
    <w:rsid w:val="004F7F3E"/>
    <w:rsid w:val="00500AAA"/>
    <w:rsid w:val="00514427"/>
    <w:rsid w:val="00524E2F"/>
    <w:rsid w:val="0052585C"/>
    <w:rsid w:val="0052762B"/>
    <w:rsid w:val="005352D6"/>
    <w:rsid w:val="00536407"/>
    <w:rsid w:val="00536BFB"/>
    <w:rsid w:val="005464CB"/>
    <w:rsid w:val="005550DC"/>
    <w:rsid w:val="00561583"/>
    <w:rsid w:val="00562A4A"/>
    <w:rsid w:val="005632FA"/>
    <w:rsid w:val="0056351E"/>
    <w:rsid w:val="00563D53"/>
    <w:rsid w:val="0057201B"/>
    <w:rsid w:val="0057225A"/>
    <w:rsid w:val="005722A1"/>
    <w:rsid w:val="00573585"/>
    <w:rsid w:val="005776A1"/>
    <w:rsid w:val="00583313"/>
    <w:rsid w:val="0058594F"/>
    <w:rsid w:val="00585A5C"/>
    <w:rsid w:val="005867C3"/>
    <w:rsid w:val="00591881"/>
    <w:rsid w:val="00597774"/>
    <w:rsid w:val="005A0D97"/>
    <w:rsid w:val="005A178D"/>
    <w:rsid w:val="005A21F7"/>
    <w:rsid w:val="005A3B7D"/>
    <w:rsid w:val="005A4F2B"/>
    <w:rsid w:val="005B3638"/>
    <w:rsid w:val="005B7367"/>
    <w:rsid w:val="005C25E0"/>
    <w:rsid w:val="005C5D8B"/>
    <w:rsid w:val="005D5D77"/>
    <w:rsid w:val="005E0BD6"/>
    <w:rsid w:val="005E25CA"/>
    <w:rsid w:val="005E4E51"/>
    <w:rsid w:val="005E5158"/>
    <w:rsid w:val="005F19E3"/>
    <w:rsid w:val="005F65A5"/>
    <w:rsid w:val="005F688F"/>
    <w:rsid w:val="00600E8E"/>
    <w:rsid w:val="0060191E"/>
    <w:rsid w:val="00610078"/>
    <w:rsid w:val="006166B9"/>
    <w:rsid w:val="00616FB2"/>
    <w:rsid w:val="006170D7"/>
    <w:rsid w:val="00620554"/>
    <w:rsid w:val="006270DB"/>
    <w:rsid w:val="00631980"/>
    <w:rsid w:val="00632FFD"/>
    <w:rsid w:val="006333B1"/>
    <w:rsid w:val="006462ED"/>
    <w:rsid w:val="00647DC4"/>
    <w:rsid w:val="00657F4E"/>
    <w:rsid w:val="006604E0"/>
    <w:rsid w:val="00661104"/>
    <w:rsid w:val="00661F10"/>
    <w:rsid w:val="0066709D"/>
    <w:rsid w:val="0066782E"/>
    <w:rsid w:val="006717A1"/>
    <w:rsid w:val="00672890"/>
    <w:rsid w:val="006807C1"/>
    <w:rsid w:val="00680E83"/>
    <w:rsid w:val="006922CC"/>
    <w:rsid w:val="00693621"/>
    <w:rsid w:val="00696AA7"/>
    <w:rsid w:val="00697362"/>
    <w:rsid w:val="006A4BEE"/>
    <w:rsid w:val="006B0170"/>
    <w:rsid w:val="006B2C3D"/>
    <w:rsid w:val="006B3D95"/>
    <w:rsid w:val="006B4D86"/>
    <w:rsid w:val="006B769B"/>
    <w:rsid w:val="006C06D0"/>
    <w:rsid w:val="006C1BA2"/>
    <w:rsid w:val="006C2E67"/>
    <w:rsid w:val="006D1529"/>
    <w:rsid w:val="006D357B"/>
    <w:rsid w:val="006D3E51"/>
    <w:rsid w:val="006D6405"/>
    <w:rsid w:val="006E0153"/>
    <w:rsid w:val="006E2290"/>
    <w:rsid w:val="006E7549"/>
    <w:rsid w:val="006F587D"/>
    <w:rsid w:val="006F743E"/>
    <w:rsid w:val="00706665"/>
    <w:rsid w:val="00712BD1"/>
    <w:rsid w:val="00712E67"/>
    <w:rsid w:val="007204A0"/>
    <w:rsid w:val="0072165E"/>
    <w:rsid w:val="00723AE0"/>
    <w:rsid w:val="00730EBB"/>
    <w:rsid w:val="0073131F"/>
    <w:rsid w:val="007326BC"/>
    <w:rsid w:val="00733C61"/>
    <w:rsid w:val="00734483"/>
    <w:rsid w:val="00734857"/>
    <w:rsid w:val="00737761"/>
    <w:rsid w:val="00737F46"/>
    <w:rsid w:val="00740C29"/>
    <w:rsid w:val="0074474C"/>
    <w:rsid w:val="00745E7E"/>
    <w:rsid w:val="0074641D"/>
    <w:rsid w:val="00747159"/>
    <w:rsid w:val="00750C3F"/>
    <w:rsid w:val="00753DBC"/>
    <w:rsid w:val="007542B4"/>
    <w:rsid w:val="00756FB7"/>
    <w:rsid w:val="007662B9"/>
    <w:rsid w:val="00770C33"/>
    <w:rsid w:val="00773988"/>
    <w:rsid w:val="00777EBD"/>
    <w:rsid w:val="00782E35"/>
    <w:rsid w:val="00784EF0"/>
    <w:rsid w:val="00793929"/>
    <w:rsid w:val="00795C67"/>
    <w:rsid w:val="00796937"/>
    <w:rsid w:val="00797381"/>
    <w:rsid w:val="00797BB6"/>
    <w:rsid w:val="007A4FC2"/>
    <w:rsid w:val="007B35C5"/>
    <w:rsid w:val="007C1511"/>
    <w:rsid w:val="007C239C"/>
    <w:rsid w:val="007D459F"/>
    <w:rsid w:val="007D7904"/>
    <w:rsid w:val="007E37E3"/>
    <w:rsid w:val="007E5017"/>
    <w:rsid w:val="007E59E9"/>
    <w:rsid w:val="007F7DA3"/>
    <w:rsid w:val="00805E45"/>
    <w:rsid w:val="00807129"/>
    <w:rsid w:val="00815505"/>
    <w:rsid w:val="00815F50"/>
    <w:rsid w:val="008162FA"/>
    <w:rsid w:val="00816CA5"/>
    <w:rsid w:val="00816ED5"/>
    <w:rsid w:val="00820963"/>
    <w:rsid w:val="008223A6"/>
    <w:rsid w:val="00823D8E"/>
    <w:rsid w:val="00830FBA"/>
    <w:rsid w:val="00833A08"/>
    <w:rsid w:val="00833B4A"/>
    <w:rsid w:val="00842095"/>
    <w:rsid w:val="00842EF0"/>
    <w:rsid w:val="00847292"/>
    <w:rsid w:val="00847CD5"/>
    <w:rsid w:val="00867542"/>
    <w:rsid w:val="0087017D"/>
    <w:rsid w:val="0087054C"/>
    <w:rsid w:val="00873A0F"/>
    <w:rsid w:val="008809DA"/>
    <w:rsid w:val="0088273D"/>
    <w:rsid w:val="00885867"/>
    <w:rsid w:val="00893945"/>
    <w:rsid w:val="008954E0"/>
    <w:rsid w:val="008A147D"/>
    <w:rsid w:val="008A2EAD"/>
    <w:rsid w:val="008A2F7A"/>
    <w:rsid w:val="008A3038"/>
    <w:rsid w:val="008B176A"/>
    <w:rsid w:val="008B4029"/>
    <w:rsid w:val="008C31C3"/>
    <w:rsid w:val="008D757D"/>
    <w:rsid w:val="008E20B1"/>
    <w:rsid w:val="008E70B7"/>
    <w:rsid w:val="008F1373"/>
    <w:rsid w:val="008F2017"/>
    <w:rsid w:val="0090347A"/>
    <w:rsid w:val="00907F48"/>
    <w:rsid w:val="00915762"/>
    <w:rsid w:val="00915865"/>
    <w:rsid w:val="00915C4D"/>
    <w:rsid w:val="00917D6D"/>
    <w:rsid w:val="00923A26"/>
    <w:rsid w:val="00923C61"/>
    <w:rsid w:val="009261C6"/>
    <w:rsid w:val="00933C6C"/>
    <w:rsid w:val="00935363"/>
    <w:rsid w:val="00936A72"/>
    <w:rsid w:val="00936D22"/>
    <w:rsid w:val="00944C12"/>
    <w:rsid w:val="00946D75"/>
    <w:rsid w:val="00947186"/>
    <w:rsid w:val="00950546"/>
    <w:rsid w:val="009518D5"/>
    <w:rsid w:val="009545C0"/>
    <w:rsid w:val="00960EEC"/>
    <w:rsid w:val="00964163"/>
    <w:rsid w:val="00965940"/>
    <w:rsid w:val="009663E3"/>
    <w:rsid w:val="00971A79"/>
    <w:rsid w:val="009738CE"/>
    <w:rsid w:val="00984CA9"/>
    <w:rsid w:val="00984ED6"/>
    <w:rsid w:val="00991D78"/>
    <w:rsid w:val="00992165"/>
    <w:rsid w:val="009A18E1"/>
    <w:rsid w:val="009B27E9"/>
    <w:rsid w:val="009B46F0"/>
    <w:rsid w:val="009B49D9"/>
    <w:rsid w:val="009B7288"/>
    <w:rsid w:val="009C4139"/>
    <w:rsid w:val="009D0C28"/>
    <w:rsid w:val="009D116A"/>
    <w:rsid w:val="009E18F0"/>
    <w:rsid w:val="009E2C4A"/>
    <w:rsid w:val="009E6E66"/>
    <w:rsid w:val="009E7860"/>
    <w:rsid w:val="009F0EBC"/>
    <w:rsid w:val="009F1194"/>
    <w:rsid w:val="009F480A"/>
    <w:rsid w:val="009F5C27"/>
    <w:rsid w:val="00A008AC"/>
    <w:rsid w:val="00A009A9"/>
    <w:rsid w:val="00A03087"/>
    <w:rsid w:val="00A06DD3"/>
    <w:rsid w:val="00A17F25"/>
    <w:rsid w:val="00A21B7D"/>
    <w:rsid w:val="00A23815"/>
    <w:rsid w:val="00A261F0"/>
    <w:rsid w:val="00A31C38"/>
    <w:rsid w:val="00A33C23"/>
    <w:rsid w:val="00A34C17"/>
    <w:rsid w:val="00A362D8"/>
    <w:rsid w:val="00A37259"/>
    <w:rsid w:val="00A37B84"/>
    <w:rsid w:val="00A418D1"/>
    <w:rsid w:val="00A41A90"/>
    <w:rsid w:val="00A4481F"/>
    <w:rsid w:val="00A468C1"/>
    <w:rsid w:val="00A51EE5"/>
    <w:rsid w:val="00A5468F"/>
    <w:rsid w:val="00A564DA"/>
    <w:rsid w:val="00A6673F"/>
    <w:rsid w:val="00A67E14"/>
    <w:rsid w:val="00A72610"/>
    <w:rsid w:val="00A75F7A"/>
    <w:rsid w:val="00A801B9"/>
    <w:rsid w:val="00A8711F"/>
    <w:rsid w:val="00A95D1B"/>
    <w:rsid w:val="00A971EC"/>
    <w:rsid w:val="00AA1E20"/>
    <w:rsid w:val="00AA5864"/>
    <w:rsid w:val="00AB1344"/>
    <w:rsid w:val="00AB3E7E"/>
    <w:rsid w:val="00AB7305"/>
    <w:rsid w:val="00AB7C40"/>
    <w:rsid w:val="00AC0058"/>
    <w:rsid w:val="00AC3F59"/>
    <w:rsid w:val="00AC5D3C"/>
    <w:rsid w:val="00AC6565"/>
    <w:rsid w:val="00AC7BC3"/>
    <w:rsid w:val="00AD25B8"/>
    <w:rsid w:val="00AD3FDE"/>
    <w:rsid w:val="00AE1692"/>
    <w:rsid w:val="00AE6246"/>
    <w:rsid w:val="00AE6CB4"/>
    <w:rsid w:val="00AE7070"/>
    <w:rsid w:val="00AF65D6"/>
    <w:rsid w:val="00AF7B2F"/>
    <w:rsid w:val="00B06ACD"/>
    <w:rsid w:val="00B07382"/>
    <w:rsid w:val="00B11EFD"/>
    <w:rsid w:val="00B12D4C"/>
    <w:rsid w:val="00B17CBD"/>
    <w:rsid w:val="00B21BFD"/>
    <w:rsid w:val="00B22DE9"/>
    <w:rsid w:val="00B23F62"/>
    <w:rsid w:val="00B402CD"/>
    <w:rsid w:val="00B41CEA"/>
    <w:rsid w:val="00B47943"/>
    <w:rsid w:val="00B5696E"/>
    <w:rsid w:val="00B64455"/>
    <w:rsid w:val="00B64708"/>
    <w:rsid w:val="00B65B1C"/>
    <w:rsid w:val="00B70CA9"/>
    <w:rsid w:val="00B73FCA"/>
    <w:rsid w:val="00B80657"/>
    <w:rsid w:val="00B862E8"/>
    <w:rsid w:val="00B86E4A"/>
    <w:rsid w:val="00B948AE"/>
    <w:rsid w:val="00B97714"/>
    <w:rsid w:val="00B97FD3"/>
    <w:rsid w:val="00BA0061"/>
    <w:rsid w:val="00BA1738"/>
    <w:rsid w:val="00BA1A7C"/>
    <w:rsid w:val="00BA316D"/>
    <w:rsid w:val="00BB0000"/>
    <w:rsid w:val="00BB12A3"/>
    <w:rsid w:val="00BC029B"/>
    <w:rsid w:val="00BD439E"/>
    <w:rsid w:val="00BD5060"/>
    <w:rsid w:val="00BD54D0"/>
    <w:rsid w:val="00BE7407"/>
    <w:rsid w:val="00BF0FBD"/>
    <w:rsid w:val="00BF11E9"/>
    <w:rsid w:val="00BF6395"/>
    <w:rsid w:val="00C03405"/>
    <w:rsid w:val="00C12490"/>
    <w:rsid w:val="00C13772"/>
    <w:rsid w:val="00C137E7"/>
    <w:rsid w:val="00C1407A"/>
    <w:rsid w:val="00C15653"/>
    <w:rsid w:val="00C162EF"/>
    <w:rsid w:val="00C20238"/>
    <w:rsid w:val="00C2045B"/>
    <w:rsid w:val="00C21EA3"/>
    <w:rsid w:val="00C25228"/>
    <w:rsid w:val="00C3206D"/>
    <w:rsid w:val="00C35220"/>
    <w:rsid w:val="00C500ED"/>
    <w:rsid w:val="00C516E0"/>
    <w:rsid w:val="00C533C1"/>
    <w:rsid w:val="00C54099"/>
    <w:rsid w:val="00C569B1"/>
    <w:rsid w:val="00C640B3"/>
    <w:rsid w:val="00C64DE2"/>
    <w:rsid w:val="00C67E96"/>
    <w:rsid w:val="00C718DA"/>
    <w:rsid w:val="00C77CE3"/>
    <w:rsid w:val="00C81908"/>
    <w:rsid w:val="00C8246E"/>
    <w:rsid w:val="00C8497F"/>
    <w:rsid w:val="00C84A7B"/>
    <w:rsid w:val="00C9583B"/>
    <w:rsid w:val="00CA0648"/>
    <w:rsid w:val="00CA308A"/>
    <w:rsid w:val="00CA47E4"/>
    <w:rsid w:val="00CA4DA0"/>
    <w:rsid w:val="00CB03A0"/>
    <w:rsid w:val="00CB1110"/>
    <w:rsid w:val="00CB15DA"/>
    <w:rsid w:val="00CB5872"/>
    <w:rsid w:val="00CC03F9"/>
    <w:rsid w:val="00CC6368"/>
    <w:rsid w:val="00CD07FB"/>
    <w:rsid w:val="00CD2652"/>
    <w:rsid w:val="00CD2858"/>
    <w:rsid w:val="00CD3EEE"/>
    <w:rsid w:val="00CD4B53"/>
    <w:rsid w:val="00CD66E8"/>
    <w:rsid w:val="00CE1B1F"/>
    <w:rsid w:val="00CE24C6"/>
    <w:rsid w:val="00CE7759"/>
    <w:rsid w:val="00CF066B"/>
    <w:rsid w:val="00CF0BF6"/>
    <w:rsid w:val="00D01B95"/>
    <w:rsid w:val="00D06A51"/>
    <w:rsid w:val="00D11F3E"/>
    <w:rsid w:val="00D24788"/>
    <w:rsid w:val="00D3178C"/>
    <w:rsid w:val="00D3435F"/>
    <w:rsid w:val="00D35DB8"/>
    <w:rsid w:val="00D4147B"/>
    <w:rsid w:val="00D43771"/>
    <w:rsid w:val="00D45320"/>
    <w:rsid w:val="00D50650"/>
    <w:rsid w:val="00D5428C"/>
    <w:rsid w:val="00D55946"/>
    <w:rsid w:val="00D568B3"/>
    <w:rsid w:val="00D63581"/>
    <w:rsid w:val="00D63736"/>
    <w:rsid w:val="00D652A1"/>
    <w:rsid w:val="00D70502"/>
    <w:rsid w:val="00D752A8"/>
    <w:rsid w:val="00D870F6"/>
    <w:rsid w:val="00D87BE8"/>
    <w:rsid w:val="00D928BC"/>
    <w:rsid w:val="00DB0148"/>
    <w:rsid w:val="00DB1003"/>
    <w:rsid w:val="00DB6BC1"/>
    <w:rsid w:val="00DB6DD7"/>
    <w:rsid w:val="00DC4368"/>
    <w:rsid w:val="00DC7F4E"/>
    <w:rsid w:val="00DD098F"/>
    <w:rsid w:val="00DD150F"/>
    <w:rsid w:val="00DD3AD3"/>
    <w:rsid w:val="00DD4404"/>
    <w:rsid w:val="00DD4CE8"/>
    <w:rsid w:val="00DE325B"/>
    <w:rsid w:val="00DE3A6A"/>
    <w:rsid w:val="00DE3D40"/>
    <w:rsid w:val="00DF24A4"/>
    <w:rsid w:val="00DF6CDB"/>
    <w:rsid w:val="00E00F1F"/>
    <w:rsid w:val="00E12D5C"/>
    <w:rsid w:val="00E154E8"/>
    <w:rsid w:val="00E15E48"/>
    <w:rsid w:val="00E2014C"/>
    <w:rsid w:val="00E21DC5"/>
    <w:rsid w:val="00E22448"/>
    <w:rsid w:val="00E229DC"/>
    <w:rsid w:val="00E25158"/>
    <w:rsid w:val="00E35E23"/>
    <w:rsid w:val="00E426DA"/>
    <w:rsid w:val="00E43C4B"/>
    <w:rsid w:val="00E5021B"/>
    <w:rsid w:val="00E533C7"/>
    <w:rsid w:val="00E54499"/>
    <w:rsid w:val="00E55B89"/>
    <w:rsid w:val="00E566D4"/>
    <w:rsid w:val="00E67333"/>
    <w:rsid w:val="00E76263"/>
    <w:rsid w:val="00E7712A"/>
    <w:rsid w:val="00E80860"/>
    <w:rsid w:val="00E90422"/>
    <w:rsid w:val="00E90649"/>
    <w:rsid w:val="00E959E4"/>
    <w:rsid w:val="00EA0507"/>
    <w:rsid w:val="00EA1F47"/>
    <w:rsid w:val="00EA5FD8"/>
    <w:rsid w:val="00EA6E1F"/>
    <w:rsid w:val="00EB155A"/>
    <w:rsid w:val="00EB2732"/>
    <w:rsid w:val="00EB59EF"/>
    <w:rsid w:val="00EB5D3F"/>
    <w:rsid w:val="00EC1D63"/>
    <w:rsid w:val="00EC316E"/>
    <w:rsid w:val="00ED2F65"/>
    <w:rsid w:val="00EE177E"/>
    <w:rsid w:val="00EE1F49"/>
    <w:rsid w:val="00EE3B23"/>
    <w:rsid w:val="00EE5378"/>
    <w:rsid w:val="00EE6172"/>
    <w:rsid w:val="00EE68F9"/>
    <w:rsid w:val="00EE76BC"/>
    <w:rsid w:val="00EF1365"/>
    <w:rsid w:val="00EF18CD"/>
    <w:rsid w:val="00EF253F"/>
    <w:rsid w:val="00EF40DD"/>
    <w:rsid w:val="00EF54C9"/>
    <w:rsid w:val="00EF5856"/>
    <w:rsid w:val="00F01DDD"/>
    <w:rsid w:val="00F1075F"/>
    <w:rsid w:val="00F11E08"/>
    <w:rsid w:val="00F12824"/>
    <w:rsid w:val="00F131A7"/>
    <w:rsid w:val="00F13C27"/>
    <w:rsid w:val="00F20089"/>
    <w:rsid w:val="00F21746"/>
    <w:rsid w:val="00F24104"/>
    <w:rsid w:val="00F27990"/>
    <w:rsid w:val="00F27CFA"/>
    <w:rsid w:val="00F3348F"/>
    <w:rsid w:val="00F34B7D"/>
    <w:rsid w:val="00F34C63"/>
    <w:rsid w:val="00F37CB0"/>
    <w:rsid w:val="00F45EFC"/>
    <w:rsid w:val="00F460CD"/>
    <w:rsid w:val="00F471C2"/>
    <w:rsid w:val="00F54BE8"/>
    <w:rsid w:val="00F56C63"/>
    <w:rsid w:val="00F5730E"/>
    <w:rsid w:val="00F574B4"/>
    <w:rsid w:val="00F6522C"/>
    <w:rsid w:val="00F66514"/>
    <w:rsid w:val="00F6673F"/>
    <w:rsid w:val="00F71BC6"/>
    <w:rsid w:val="00F72891"/>
    <w:rsid w:val="00F82704"/>
    <w:rsid w:val="00F82C8E"/>
    <w:rsid w:val="00F86099"/>
    <w:rsid w:val="00F9144E"/>
    <w:rsid w:val="00F929B9"/>
    <w:rsid w:val="00F930D7"/>
    <w:rsid w:val="00F946A4"/>
    <w:rsid w:val="00F97834"/>
    <w:rsid w:val="00FA0DFB"/>
    <w:rsid w:val="00FA14CD"/>
    <w:rsid w:val="00FA3042"/>
    <w:rsid w:val="00FA3743"/>
    <w:rsid w:val="00FA71E7"/>
    <w:rsid w:val="00FB58DF"/>
    <w:rsid w:val="00FB5918"/>
    <w:rsid w:val="00FB5F11"/>
    <w:rsid w:val="00FC345E"/>
    <w:rsid w:val="00FD1A8A"/>
    <w:rsid w:val="00FD70A7"/>
    <w:rsid w:val="00FE2CB5"/>
    <w:rsid w:val="00FE366A"/>
    <w:rsid w:val="00FE3F95"/>
    <w:rsid w:val="00FE7278"/>
    <w:rsid w:val="00FF05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5F"/>
    <w:rPr>
      <w:rFonts w:ascii="Garamond" w:hAnsi="Garamond" w:cs="Tahoma"/>
      <w:sz w:val="24"/>
      <w:szCs w:val="20"/>
    </w:rPr>
  </w:style>
  <w:style w:type="paragraph" w:styleId="Overskrift1">
    <w:name w:val="heading 1"/>
    <w:basedOn w:val="Normal"/>
    <w:next w:val="Normal"/>
    <w:link w:val="Overskrift1Tegn"/>
    <w:uiPriority w:val="99"/>
    <w:qFormat/>
    <w:rsid w:val="0028705F"/>
    <w:pPr>
      <w:keepNext/>
      <w:spacing w:before="240" w:after="60"/>
      <w:outlineLvl w:val="0"/>
    </w:pPr>
    <w:rPr>
      <w:rFonts w:ascii="Verdana" w:hAnsi="Verdana" w:cs="Times New Roman"/>
      <w:b/>
      <w:sz w:val="32"/>
    </w:rPr>
  </w:style>
  <w:style w:type="paragraph" w:styleId="Overskrift2">
    <w:name w:val="heading 2"/>
    <w:basedOn w:val="Normal"/>
    <w:next w:val="Normal"/>
    <w:link w:val="Overskrift2Tegn"/>
    <w:uiPriority w:val="99"/>
    <w:qFormat/>
    <w:rsid w:val="0028705F"/>
    <w:pPr>
      <w:keepNext/>
      <w:spacing w:before="240" w:after="60"/>
      <w:outlineLvl w:val="1"/>
    </w:pPr>
    <w:rPr>
      <w:rFonts w:ascii="Verdana" w:eastAsia="Arial Unicode MS" w:hAnsi="Verdana" w:cs="Arial"/>
      <w:b/>
      <w:iCs/>
      <w:sz w:val="28"/>
      <w:szCs w:val="28"/>
    </w:rPr>
  </w:style>
  <w:style w:type="paragraph" w:styleId="Overskrift3">
    <w:name w:val="heading 3"/>
    <w:basedOn w:val="Normal"/>
    <w:next w:val="Normal"/>
    <w:link w:val="Overskrift3Tegn"/>
    <w:uiPriority w:val="99"/>
    <w:qFormat/>
    <w:rsid w:val="0028705F"/>
    <w:pPr>
      <w:keepNext/>
      <w:spacing w:before="240" w:after="60"/>
      <w:outlineLvl w:val="2"/>
    </w:pPr>
    <w:rPr>
      <w:rFonts w:ascii="Verdana" w:eastAsia="Arial Unicode MS" w:hAnsi="Verdana" w:cs="Times New Roman"/>
      <w:b/>
      <w:i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C67E96"/>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C67E96"/>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C67E96"/>
    <w:rPr>
      <w:rFonts w:ascii="Cambria" w:hAnsi="Cambria" w:cs="Times New Roman"/>
      <w:b/>
      <w:bCs/>
      <w:sz w:val="26"/>
      <w:szCs w:val="26"/>
    </w:rPr>
  </w:style>
  <w:style w:type="paragraph" w:customStyle="1" w:styleId="BRK-brdtekst">
    <w:name w:val="BRK - brødtekst"/>
    <w:link w:val="BRK-brdtekstTegn"/>
    <w:uiPriority w:val="99"/>
    <w:rsid w:val="0028705F"/>
    <w:pPr>
      <w:spacing w:line="300" w:lineRule="atLeast"/>
    </w:pPr>
    <w:rPr>
      <w:rFonts w:ascii="Garamond" w:hAnsi="Garamond"/>
      <w:sz w:val="24"/>
      <w:szCs w:val="24"/>
    </w:rPr>
  </w:style>
  <w:style w:type="paragraph" w:customStyle="1" w:styleId="BRK-overskrift">
    <w:name w:val="BRK - overskrift"/>
    <w:uiPriority w:val="99"/>
    <w:rsid w:val="0028705F"/>
    <w:pPr>
      <w:keepNext/>
      <w:spacing w:line="300" w:lineRule="atLeast"/>
    </w:pPr>
    <w:rPr>
      <w:rFonts w:ascii="Garamond" w:hAnsi="Garamond"/>
      <w:b/>
      <w:sz w:val="24"/>
      <w:szCs w:val="24"/>
    </w:rPr>
  </w:style>
  <w:style w:type="paragraph" w:customStyle="1" w:styleId="BRK-punktindhold">
    <w:name w:val="BRK - punktindhold"/>
    <w:basedOn w:val="BRK-brdtekst"/>
    <w:uiPriority w:val="99"/>
    <w:rsid w:val="0028705F"/>
    <w:pPr>
      <w:ind w:left="425"/>
    </w:pPr>
  </w:style>
  <w:style w:type="paragraph" w:customStyle="1" w:styleId="BRK-punktoverskrift">
    <w:name w:val="BRK - punktoverskrift"/>
    <w:basedOn w:val="BRK-overskrift"/>
    <w:next w:val="BRK-punktindhold"/>
    <w:uiPriority w:val="99"/>
    <w:rsid w:val="0028705F"/>
    <w:pPr>
      <w:numPr>
        <w:numId w:val="1"/>
      </w:numPr>
      <w:spacing w:before="360"/>
    </w:pPr>
  </w:style>
  <w:style w:type="paragraph" w:styleId="Indholdsfortegnelse1">
    <w:name w:val="toc 1"/>
    <w:basedOn w:val="Normal"/>
    <w:next w:val="Normal"/>
    <w:autoRedefine/>
    <w:uiPriority w:val="99"/>
    <w:semiHidden/>
    <w:rsid w:val="0028705F"/>
    <w:pPr>
      <w:tabs>
        <w:tab w:val="right" w:leader="dot" w:pos="9072"/>
      </w:tabs>
      <w:spacing w:before="360"/>
    </w:pPr>
    <w:rPr>
      <w:rFonts w:ascii="Verdana" w:hAnsi="Verdana" w:cs="Times New Roman"/>
      <w:b/>
      <w:noProof/>
      <w:szCs w:val="28"/>
    </w:rPr>
  </w:style>
  <w:style w:type="paragraph" w:styleId="Indholdsfortegnelse2">
    <w:name w:val="toc 2"/>
    <w:basedOn w:val="Indholdsfortegnelse1"/>
    <w:next w:val="Normal"/>
    <w:autoRedefine/>
    <w:uiPriority w:val="99"/>
    <w:semiHidden/>
    <w:rsid w:val="007204A0"/>
    <w:pPr>
      <w:spacing w:before="120"/>
      <w:ind w:left="284"/>
    </w:pPr>
    <w:rPr>
      <w:sz w:val="20"/>
      <w:szCs w:val="20"/>
    </w:rPr>
  </w:style>
  <w:style w:type="paragraph" w:styleId="Indholdsfortegnelse3">
    <w:name w:val="toc 3"/>
    <w:basedOn w:val="Indholdsfortegnelse1"/>
    <w:next w:val="Normal"/>
    <w:autoRedefine/>
    <w:uiPriority w:val="99"/>
    <w:semiHidden/>
    <w:rsid w:val="0028705F"/>
    <w:pPr>
      <w:spacing w:before="120"/>
      <w:ind w:left="567"/>
    </w:pPr>
    <w:rPr>
      <w:b w:val="0"/>
      <w:sz w:val="20"/>
    </w:rPr>
  </w:style>
  <w:style w:type="table" w:styleId="Tabel-Gitter">
    <w:name w:val="Table Grid"/>
    <w:basedOn w:val="Tabel-Normal"/>
    <w:uiPriority w:val="99"/>
    <w:rsid w:val="005722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uiPriority w:val="99"/>
    <w:rsid w:val="00BA1738"/>
    <w:pPr>
      <w:tabs>
        <w:tab w:val="center" w:pos="4819"/>
        <w:tab w:val="right" w:pos="9638"/>
      </w:tabs>
    </w:pPr>
  </w:style>
  <w:style w:type="character" w:customStyle="1" w:styleId="SidefodTegn">
    <w:name w:val="Sidefod Tegn"/>
    <w:basedOn w:val="Standardskrifttypeiafsnit"/>
    <w:link w:val="Sidefod"/>
    <w:uiPriority w:val="99"/>
    <w:semiHidden/>
    <w:locked/>
    <w:rsid w:val="00C67E96"/>
    <w:rPr>
      <w:rFonts w:ascii="Garamond" w:hAnsi="Garamond" w:cs="Tahoma"/>
      <w:sz w:val="24"/>
    </w:rPr>
  </w:style>
  <w:style w:type="character" w:styleId="Sidetal">
    <w:name w:val="page number"/>
    <w:basedOn w:val="Standardskrifttypeiafsnit"/>
    <w:uiPriority w:val="99"/>
    <w:rsid w:val="00BA1738"/>
    <w:rPr>
      <w:rFonts w:cs="Times New Roman"/>
    </w:rPr>
  </w:style>
  <w:style w:type="character" w:styleId="Kommentarhenvisning">
    <w:name w:val="annotation reference"/>
    <w:basedOn w:val="Standardskrifttypeiafsnit"/>
    <w:uiPriority w:val="99"/>
    <w:semiHidden/>
    <w:rsid w:val="0087017D"/>
    <w:rPr>
      <w:rFonts w:cs="Times New Roman"/>
      <w:sz w:val="16"/>
      <w:szCs w:val="16"/>
    </w:rPr>
  </w:style>
  <w:style w:type="paragraph" w:styleId="Kommentartekst">
    <w:name w:val="annotation text"/>
    <w:basedOn w:val="Normal"/>
    <w:link w:val="KommentartekstTegn"/>
    <w:uiPriority w:val="99"/>
    <w:semiHidden/>
    <w:rsid w:val="0087017D"/>
    <w:rPr>
      <w:sz w:val="20"/>
    </w:rPr>
  </w:style>
  <w:style w:type="character" w:customStyle="1" w:styleId="KommentartekstTegn">
    <w:name w:val="Kommentartekst Tegn"/>
    <w:basedOn w:val="Standardskrifttypeiafsnit"/>
    <w:link w:val="Kommentartekst"/>
    <w:uiPriority w:val="99"/>
    <w:semiHidden/>
    <w:locked/>
    <w:rsid w:val="00C67E96"/>
    <w:rPr>
      <w:rFonts w:ascii="Garamond" w:hAnsi="Garamond" w:cs="Tahoma"/>
    </w:rPr>
  </w:style>
  <w:style w:type="paragraph" w:styleId="Kommentaremne">
    <w:name w:val="annotation subject"/>
    <w:basedOn w:val="Kommentartekst"/>
    <w:next w:val="Kommentartekst"/>
    <w:link w:val="KommentaremneTegn"/>
    <w:uiPriority w:val="99"/>
    <w:semiHidden/>
    <w:rsid w:val="0087017D"/>
    <w:rPr>
      <w:b/>
      <w:bCs/>
    </w:rPr>
  </w:style>
  <w:style w:type="character" w:customStyle="1" w:styleId="KommentaremneTegn">
    <w:name w:val="Kommentaremne Tegn"/>
    <w:basedOn w:val="KommentartekstTegn"/>
    <w:link w:val="Kommentaremne"/>
    <w:uiPriority w:val="99"/>
    <w:semiHidden/>
    <w:locked/>
    <w:rsid w:val="00C67E96"/>
    <w:rPr>
      <w:b/>
      <w:bCs/>
    </w:rPr>
  </w:style>
  <w:style w:type="paragraph" w:styleId="Markeringsbobletekst">
    <w:name w:val="Balloon Text"/>
    <w:basedOn w:val="Normal"/>
    <w:link w:val="MarkeringsbobletekstTegn"/>
    <w:uiPriority w:val="99"/>
    <w:semiHidden/>
    <w:rsid w:val="0087017D"/>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locked/>
    <w:rsid w:val="00C67E96"/>
    <w:rPr>
      <w:rFonts w:cs="Tahoma"/>
      <w:sz w:val="2"/>
    </w:rPr>
  </w:style>
  <w:style w:type="paragraph" w:styleId="Fodnotetekst">
    <w:name w:val="footnote text"/>
    <w:basedOn w:val="Normal"/>
    <w:link w:val="FodnotetekstTegn"/>
    <w:uiPriority w:val="99"/>
    <w:semiHidden/>
    <w:rsid w:val="00445D30"/>
    <w:rPr>
      <w:sz w:val="20"/>
    </w:rPr>
  </w:style>
  <w:style w:type="character" w:customStyle="1" w:styleId="FodnotetekstTegn">
    <w:name w:val="Fodnotetekst Tegn"/>
    <w:basedOn w:val="Standardskrifttypeiafsnit"/>
    <w:link w:val="Fodnotetekst"/>
    <w:uiPriority w:val="99"/>
    <w:semiHidden/>
    <w:locked/>
    <w:rsid w:val="00C67E96"/>
    <w:rPr>
      <w:rFonts w:ascii="Garamond" w:hAnsi="Garamond" w:cs="Tahoma"/>
    </w:rPr>
  </w:style>
  <w:style w:type="character" w:styleId="Fodnotehenvisning">
    <w:name w:val="footnote reference"/>
    <w:basedOn w:val="Standardskrifttypeiafsnit"/>
    <w:uiPriority w:val="99"/>
    <w:semiHidden/>
    <w:rsid w:val="00445D30"/>
    <w:rPr>
      <w:rFonts w:cs="Times New Roman"/>
      <w:vertAlign w:val="superscript"/>
    </w:rPr>
  </w:style>
  <w:style w:type="character" w:styleId="Hyperlink">
    <w:name w:val="Hyperlink"/>
    <w:basedOn w:val="Standardskrifttypeiafsnit"/>
    <w:uiPriority w:val="99"/>
    <w:rsid w:val="008E20B1"/>
    <w:rPr>
      <w:rFonts w:cs="Times New Roman"/>
      <w:color w:val="0000FF"/>
      <w:u w:val="single"/>
    </w:rPr>
  </w:style>
  <w:style w:type="character" w:customStyle="1" w:styleId="BRK-brdtekstTegn">
    <w:name w:val="BRK - brødtekst Tegn"/>
    <w:basedOn w:val="Standardskrifttypeiafsnit"/>
    <w:link w:val="BRK-brdtekst"/>
    <w:uiPriority w:val="99"/>
    <w:locked/>
    <w:rsid w:val="00361EA5"/>
    <w:rPr>
      <w:rFonts w:ascii="Garamond" w:hAnsi="Garamond" w:cs="Times New Roman"/>
      <w:sz w:val="24"/>
      <w:szCs w:val="24"/>
      <w:lang w:val="da-DK" w:eastAsia="da-DK" w:bidi="ar-SA"/>
    </w:rPr>
  </w:style>
  <w:style w:type="character" w:styleId="BesgtHyperlink">
    <w:name w:val="FollowedHyperlink"/>
    <w:basedOn w:val="Standardskrifttypeiafsnit"/>
    <w:uiPriority w:val="99"/>
    <w:rsid w:val="0059188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34721305">
      <w:marLeft w:val="0"/>
      <w:marRight w:val="0"/>
      <w:marTop w:val="0"/>
      <w:marBottom w:val="0"/>
      <w:divBdr>
        <w:top w:val="none" w:sz="0" w:space="0" w:color="auto"/>
        <w:left w:val="none" w:sz="0" w:space="0" w:color="auto"/>
        <w:bottom w:val="none" w:sz="0" w:space="0" w:color="auto"/>
        <w:right w:val="none" w:sz="0" w:space="0" w:color="auto"/>
      </w:divBdr>
    </w:div>
    <w:div w:id="2034721311">
      <w:marLeft w:val="0"/>
      <w:marRight w:val="0"/>
      <w:marTop w:val="0"/>
      <w:marBottom w:val="0"/>
      <w:divBdr>
        <w:top w:val="none" w:sz="0" w:space="0" w:color="auto"/>
        <w:left w:val="none" w:sz="0" w:space="0" w:color="auto"/>
        <w:bottom w:val="none" w:sz="0" w:space="0" w:color="auto"/>
        <w:right w:val="none" w:sz="0" w:space="0" w:color="auto"/>
      </w:divBdr>
      <w:divsChild>
        <w:div w:id="2034721346">
          <w:marLeft w:val="0"/>
          <w:marRight w:val="0"/>
          <w:marTop w:val="0"/>
          <w:marBottom w:val="0"/>
          <w:divBdr>
            <w:top w:val="none" w:sz="0" w:space="0" w:color="auto"/>
            <w:left w:val="none" w:sz="0" w:space="0" w:color="auto"/>
            <w:bottom w:val="none" w:sz="0" w:space="0" w:color="auto"/>
            <w:right w:val="none" w:sz="0" w:space="0" w:color="auto"/>
          </w:divBdr>
          <w:divsChild>
            <w:div w:id="2034721338">
              <w:marLeft w:val="0"/>
              <w:marRight w:val="0"/>
              <w:marTop w:val="0"/>
              <w:marBottom w:val="0"/>
              <w:divBdr>
                <w:top w:val="none" w:sz="0" w:space="0" w:color="auto"/>
                <w:left w:val="none" w:sz="0" w:space="0" w:color="auto"/>
                <w:bottom w:val="none" w:sz="0" w:space="0" w:color="auto"/>
                <w:right w:val="none" w:sz="0" w:space="0" w:color="auto"/>
              </w:divBdr>
              <w:divsChild>
                <w:div w:id="2034721328">
                  <w:marLeft w:val="0"/>
                  <w:marRight w:val="0"/>
                  <w:marTop w:val="0"/>
                  <w:marBottom w:val="0"/>
                  <w:divBdr>
                    <w:top w:val="none" w:sz="0" w:space="0" w:color="auto"/>
                    <w:left w:val="none" w:sz="0" w:space="0" w:color="auto"/>
                    <w:bottom w:val="none" w:sz="0" w:space="0" w:color="auto"/>
                    <w:right w:val="none" w:sz="0" w:space="0" w:color="auto"/>
                  </w:divBdr>
                  <w:divsChild>
                    <w:div w:id="2034721364">
                      <w:marLeft w:val="0"/>
                      <w:marRight w:val="0"/>
                      <w:marTop w:val="0"/>
                      <w:marBottom w:val="0"/>
                      <w:divBdr>
                        <w:top w:val="none" w:sz="0" w:space="0" w:color="auto"/>
                        <w:left w:val="none" w:sz="0" w:space="0" w:color="auto"/>
                        <w:bottom w:val="none" w:sz="0" w:space="0" w:color="auto"/>
                        <w:right w:val="none" w:sz="0" w:space="0" w:color="auto"/>
                      </w:divBdr>
                      <w:divsChild>
                        <w:div w:id="2034721350">
                          <w:marLeft w:val="0"/>
                          <w:marRight w:val="0"/>
                          <w:marTop w:val="0"/>
                          <w:marBottom w:val="0"/>
                          <w:divBdr>
                            <w:top w:val="none" w:sz="0" w:space="0" w:color="auto"/>
                            <w:left w:val="none" w:sz="0" w:space="0" w:color="auto"/>
                            <w:bottom w:val="none" w:sz="0" w:space="0" w:color="auto"/>
                            <w:right w:val="none" w:sz="0" w:space="0" w:color="auto"/>
                          </w:divBdr>
                          <w:divsChild>
                            <w:div w:id="2034721356">
                              <w:marLeft w:val="0"/>
                              <w:marRight w:val="0"/>
                              <w:marTop w:val="0"/>
                              <w:marBottom w:val="0"/>
                              <w:divBdr>
                                <w:top w:val="none" w:sz="0" w:space="0" w:color="auto"/>
                                <w:left w:val="none" w:sz="0" w:space="0" w:color="auto"/>
                                <w:bottom w:val="none" w:sz="0" w:space="0" w:color="auto"/>
                                <w:right w:val="none" w:sz="0" w:space="0" w:color="auto"/>
                              </w:divBdr>
                              <w:divsChild>
                                <w:div w:id="2034721316">
                                  <w:marLeft w:val="0"/>
                                  <w:marRight w:val="0"/>
                                  <w:marTop w:val="0"/>
                                  <w:marBottom w:val="0"/>
                                  <w:divBdr>
                                    <w:top w:val="none" w:sz="0" w:space="0" w:color="auto"/>
                                    <w:left w:val="none" w:sz="0" w:space="0" w:color="auto"/>
                                    <w:bottom w:val="none" w:sz="0" w:space="0" w:color="auto"/>
                                    <w:right w:val="none" w:sz="0" w:space="0" w:color="auto"/>
                                  </w:divBdr>
                                  <w:divsChild>
                                    <w:div w:id="2034721348">
                                      <w:marLeft w:val="0"/>
                                      <w:marRight w:val="0"/>
                                      <w:marTop w:val="0"/>
                                      <w:marBottom w:val="375"/>
                                      <w:divBdr>
                                        <w:top w:val="none" w:sz="0" w:space="0" w:color="auto"/>
                                        <w:left w:val="none" w:sz="0" w:space="0" w:color="auto"/>
                                        <w:bottom w:val="single" w:sz="24" w:space="19" w:color="D5DCDE"/>
                                        <w:right w:val="none" w:sz="0" w:space="0" w:color="auto"/>
                                      </w:divBdr>
                                      <w:divsChild>
                                        <w:div w:id="20347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21319">
      <w:marLeft w:val="0"/>
      <w:marRight w:val="0"/>
      <w:marTop w:val="0"/>
      <w:marBottom w:val="0"/>
      <w:divBdr>
        <w:top w:val="none" w:sz="0" w:space="0" w:color="auto"/>
        <w:left w:val="none" w:sz="0" w:space="0" w:color="auto"/>
        <w:bottom w:val="none" w:sz="0" w:space="0" w:color="auto"/>
        <w:right w:val="none" w:sz="0" w:space="0" w:color="auto"/>
      </w:divBdr>
    </w:div>
    <w:div w:id="2034721321">
      <w:marLeft w:val="0"/>
      <w:marRight w:val="0"/>
      <w:marTop w:val="0"/>
      <w:marBottom w:val="0"/>
      <w:divBdr>
        <w:top w:val="none" w:sz="0" w:space="0" w:color="auto"/>
        <w:left w:val="none" w:sz="0" w:space="0" w:color="auto"/>
        <w:bottom w:val="none" w:sz="0" w:space="0" w:color="auto"/>
        <w:right w:val="none" w:sz="0" w:space="0" w:color="auto"/>
      </w:divBdr>
      <w:divsChild>
        <w:div w:id="2034721304">
          <w:marLeft w:val="0"/>
          <w:marRight w:val="0"/>
          <w:marTop w:val="0"/>
          <w:marBottom w:val="0"/>
          <w:divBdr>
            <w:top w:val="none" w:sz="0" w:space="0" w:color="auto"/>
            <w:left w:val="none" w:sz="0" w:space="0" w:color="auto"/>
            <w:bottom w:val="none" w:sz="0" w:space="0" w:color="auto"/>
            <w:right w:val="none" w:sz="0" w:space="0" w:color="auto"/>
          </w:divBdr>
          <w:divsChild>
            <w:div w:id="2034721382">
              <w:marLeft w:val="0"/>
              <w:marRight w:val="0"/>
              <w:marTop w:val="0"/>
              <w:marBottom w:val="0"/>
              <w:divBdr>
                <w:top w:val="none" w:sz="0" w:space="0" w:color="auto"/>
                <w:left w:val="none" w:sz="0" w:space="0" w:color="auto"/>
                <w:bottom w:val="none" w:sz="0" w:space="0" w:color="auto"/>
                <w:right w:val="none" w:sz="0" w:space="0" w:color="auto"/>
              </w:divBdr>
              <w:divsChild>
                <w:div w:id="2034721337">
                  <w:marLeft w:val="0"/>
                  <w:marRight w:val="0"/>
                  <w:marTop w:val="0"/>
                  <w:marBottom w:val="0"/>
                  <w:divBdr>
                    <w:top w:val="none" w:sz="0" w:space="0" w:color="auto"/>
                    <w:left w:val="none" w:sz="0" w:space="0" w:color="auto"/>
                    <w:bottom w:val="none" w:sz="0" w:space="0" w:color="auto"/>
                    <w:right w:val="none" w:sz="0" w:space="0" w:color="auto"/>
                  </w:divBdr>
                  <w:divsChild>
                    <w:div w:id="2034721360">
                      <w:marLeft w:val="0"/>
                      <w:marRight w:val="0"/>
                      <w:marTop w:val="0"/>
                      <w:marBottom w:val="0"/>
                      <w:divBdr>
                        <w:top w:val="none" w:sz="0" w:space="0" w:color="auto"/>
                        <w:left w:val="none" w:sz="0" w:space="0" w:color="auto"/>
                        <w:bottom w:val="none" w:sz="0" w:space="0" w:color="auto"/>
                        <w:right w:val="none" w:sz="0" w:space="0" w:color="auto"/>
                      </w:divBdr>
                      <w:divsChild>
                        <w:div w:id="2034721374">
                          <w:marLeft w:val="0"/>
                          <w:marRight w:val="0"/>
                          <w:marTop w:val="0"/>
                          <w:marBottom w:val="0"/>
                          <w:divBdr>
                            <w:top w:val="none" w:sz="0" w:space="0" w:color="auto"/>
                            <w:left w:val="none" w:sz="0" w:space="0" w:color="auto"/>
                            <w:bottom w:val="none" w:sz="0" w:space="0" w:color="auto"/>
                            <w:right w:val="none" w:sz="0" w:space="0" w:color="auto"/>
                          </w:divBdr>
                          <w:divsChild>
                            <w:div w:id="2034721326">
                              <w:marLeft w:val="0"/>
                              <w:marRight w:val="0"/>
                              <w:marTop w:val="0"/>
                              <w:marBottom w:val="0"/>
                              <w:divBdr>
                                <w:top w:val="none" w:sz="0" w:space="0" w:color="auto"/>
                                <w:left w:val="none" w:sz="0" w:space="0" w:color="auto"/>
                                <w:bottom w:val="none" w:sz="0" w:space="0" w:color="auto"/>
                                <w:right w:val="none" w:sz="0" w:space="0" w:color="auto"/>
                              </w:divBdr>
                              <w:divsChild>
                                <w:div w:id="2034721306">
                                  <w:marLeft w:val="0"/>
                                  <w:marRight w:val="0"/>
                                  <w:marTop w:val="0"/>
                                  <w:marBottom w:val="0"/>
                                  <w:divBdr>
                                    <w:top w:val="none" w:sz="0" w:space="0" w:color="auto"/>
                                    <w:left w:val="none" w:sz="0" w:space="0" w:color="auto"/>
                                    <w:bottom w:val="none" w:sz="0" w:space="0" w:color="auto"/>
                                    <w:right w:val="none" w:sz="0" w:space="0" w:color="auto"/>
                                  </w:divBdr>
                                  <w:divsChild>
                                    <w:div w:id="2034721354">
                                      <w:marLeft w:val="0"/>
                                      <w:marRight w:val="0"/>
                                      <w:marTop w:val="0"/>
                                      <w:marBottom w:val="0"/>
                                      <w:divBdr>
                                        <w:top w:val="none" w:sz="0" w:space="0" w:color="auto"/>
                                        <w:left w:val="none" w:sz="0" w:space="0" w:color="auto"/>
                                        <w:bottom w:val="none" w:sz="0" w:space="0" w:color="auto"/>
                                        <w:right w:val="none" w:sz="0" w:space="0" w:color="auto"/>
                                      </w:divBdr>
                                      <w:divsChild>
                                        <w:div w:id="2034721349">
                                          <w:marLeft w:val="0"/>
                                          <w:marRight w:val="0"/>
                                          <w:marTop w:val="0"/>
                                          <w:marBottom w:val="0"/>
                                          <w:divBdr>
                                            <w:top w:val="none" w:sz="0" w:space="0" w:color="auto"/>
                                            <w:left w:val="none" w:sz="0" w:space="0" w:color="auto"/>
                                            <w:bottom w:val="single" w:sz="18" w:space="4" w:color="D5DCDE"/>
                                            <w:right w:val="none" w:sz="0" w:space="0" w:color="auto"/>
                                          </w:divBdr>
                                          <w:divsChild>
                                            <w:div w:id="20347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721330">
      <w:marLeft w:val="0"/>
      <w:marRight w:val="0"/>
      <w:marTop w:val="0"/>
      <w:marBottom w:val="0"/>
      <w:divBdr>
        <w:top w:val="none" w:sz="0" w:space="0" w:color="auto"/>
        <w:left w:val="none" w:sz="0" w:space="0" w:color="auto"/>
        <w:bottom w:val="none" w:sz="0" w:space="0" w:color="auto"/>
        <w:right w:val="none" w:sz="0" w:space="0" w:color="auto"/>
      </w:divBdr>
      <w:divsChild>
        <w:div w:id="2034721303">
          <w:marLeft w:val="0"/>
          <w:marRight w:val="0"/>
          <w:marTop w:val="0"/>
          <w:marBottom w:val="0"/>
          <w:divBdr>
            <w:top w:val="none" w:sz="0" w:space="0" w:color="auto"/>
            <w:left w:val="none" w:sz="0" w:space="0" w:color="auto"/>
            <w:bottom w:val="none" w:sz="0" w:space="0" w:color="auto"/>
            <w:right w:val="none" w:sz="0" w:space="0" w:color="auto"/>
          </w:divBdr>
          <w:divsChild>
            <w:div w:id="2034721384">
              <w:marLeft w:val="0"/>
              <w:marRight w:val="0"/>
              <w:marTop w:val="0"/>
              <w:marBottom w:val="0"/>
              <w:divBdr>
                <w:top w:val="none" w:sz="0" w:space="0" w:color="auto"/>
                <w:left w:val="none" w:sz="0" w:space="0" w:color="auto"/>
                <w:bottom w:val="none" w:sz="0" w:space="0" w:color="auto"/>
                <w:right w:val="none" w:sz="0" w:space="0" w:color="auto"/>
              </w:divBdr>
              <w:divsChild>
                <w:div w:id="2034721357">
                  <w:marLeft w:val="0"/>
                  <w:marRight w:val="0"/>
                  <w:marTop w:val="0"/>
                  <w:marBottom w:val="0"/>
                  <w:divBdr>
                    <w:top w:val="none" w:sz="0" w:space="0" w:color="auto"/>
                    <w:left w:val="none" w:sz="0" w:space="0" w:color="auto"/>
                    <w:bottom w:val="none" w:sz="0" w:space="0" w:color="auto"/>
                    <w:right w:val="none" w:sz="0" w:space="0" w:color="auto"/>
                  </w:divBdr>
                  <w:divsChild>
                    <w:div w:id="2034721362">
                      <w:marLeft w:val="0"/>
                      <w:marRight w:val="0"/>
                      <w:marTop w:val="0"/>
                      <w:marBottom w:val="0"/>
                      <w:divBdr>
                        <w:top w:val="none" w:sz="0" w:space="0" w:color="auto"/>
                        <w:left w:val="none" w:sz="0" w:space="0" w:color="auto"/>
                        <w:bottom w:val="none" w:sz="0" w:space="0" w:color="auto"/>
                        <w:right w:val="none" w:sz="0" w:space="0" w:color="auto"/>
                      </w:divBdr>
                      <w:divsChild>
                        <w:div w:id="2034721369">
                          <w:marLeft w:val="0"/>
                          <w:marRight w:val="0"/>
                          <w:marTop w:val="0"/>
                          <w:marBottom w:val="0"/>
                          <w:divBdr>
                            <w:top w:val="none" w:sz="0" w:space="0" w:color="auto"/>
                            <w:left w:val="none" w:sz="0" w:space="0" w:color="auto"/>
                            <w:bottom w:val="none" w:sz="0" w:space="0" w:color="auto"/>
                            <w:right w:val="none" w:sz="0" w:space="0" w:color="auto"/>
                          </w:divBdr>
                          <w:divsChild>
                            <w:div w:id="2034721365">
                              <w:marLeft w:val="0"/>
                              <w:marRight w:val="0"/>
                              <w:marTop w:val="0"/>
                              <w:marBottom w:val="0"/>
                              <w:divBdr>
                                <w:top w:val="none" w:sz="0" w:space="0" w:color="auto"/>
                                <w:left w:val="none" w:sz="0" w:space="0" w:color="auto"/>
                                <w:bottom w:val="none" w:sz="0" w:space="0" w:color="auto"/>
                                <w:right w:val="none" w:sz="0" w:space="0" w:color="auto"/>
                              </w:divBdr>
                              <w:divsChild>
                                <w:div w:id="2034721376">
                                  <w:marLeft w:val="0"/>
                                  <w:marRight w:val="0"/>
                                  <w:marTop w:val="0"/>
                                  <w:marBottom w:val="0"/>
                                  <w:divBdr>
                                    <w:top w:val="none" w:sz="0" w:space="0" w:color="auto"/>
                                    <w:left w:val="none" w:sz="0" w:space="0" w:color="auto"/>
                                    <w:bottom w:val="none" w:sz="0" w:space="0" w:color="auto"/>
                                    <w:right w:val="none" w:sz="0" w:space="0" w:color="auto"/>
                                  </w:divBdr>
                                  <w:divsChild>
                                    <w:div w:id="2034721347">
                                      <w:marLeft w:val="0"/>
                                      <w:marRight w:val="0"/>
                                      <w:marTop w:val="0"/>
                                      <w:marBottom w:val="375"/>
                                      <w:divBdr>
                                        <w:top w:val="none" w:sz="0" w:space="0" w:color="auto"/>
                                        <w:left w:val="none" w:sz="0" w:space="0" w:color="auto"/>
                                        <w:bottom w:val="single" w:sz="24" w:space="19" w:color="D5DCDE"/>
                                        <w:right w:val="none" w:sz="0" w:space="0" w:color="auto"/>
                                      </w:divBdr>
                                      <w:divsChild>
                                        <w:div w:id="20347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21341">
      <w:marLeft w:val="0"/>
      <w:marRight w:val="0"/>
      <w:marTop w:val="0"/>
      <w:marBottom w:val="0"/>
      <w:divBdr>
        <w:top w:val="none" w:sz="0" w:space="0" w:color="auto"/>
        <w:left w:val="none" w:sz="0" w:space="0" w:color="auto"/>
        <w:bottom w:val="none" w:sz="0" w:space="0" w:color="auto"/>
        <w:right w:val="none" w:sz="0" w:space="0" w:color="auto"/>
      </w:divBdr>
      <w:divsChild>
        <w:div w:id="2034721359">
          <w:marLeft w:val="0"/>
          <w:marRight w:val="0"/>
          <w:marTop w:val="0"/>
          <w:marBottom w:val="0"/>
          <w:divBdr>
            <w:top w:val="none" w:sz="0" w:space="0" w:color="auto"/>
            <w:left w:val="none" w:sz="0" w:space="0" w:color="auto"/>
            <w:bottom w:val="none" w:sz="0" w:space="0" w:color="auto"/>
            <w:right w:val="none" w:sz="0" w:space="0" w:color="auto"/>
          </w:divBdr>
          <w:divsChild>
            <w:div w:id="2034721355">
              <w:marLeft w:val="0"/>
              <w:marRight w:val="0"/>
              <w:marTop w:val="0"/>
              <w:marBottom w:val="0"/>
              <w:divBdr>
                <w:top w:val="none" w:sz="0" w:space="0" w:color="auto"/>
                <w:left w:val="none" w:sz="0" w:space="0" w:color="auto"/>
                <w:bottom w:val="none" w:sz="0" w:space="0" w:color="auto"/>
                <w:right w:val="none" w:sz="0" w:space="0" w:color="auto"/>
              </w:divBdr>
              <w:divsChild>
                <w:div w:id="2034721340">
                  <w:marLeft w:val="0"/>
                  <w:marRight w:val="0"/>
                  <w:marTop w:val="0"/>
                  <w:marBottom w:val="0"/>
                  <w:divBdr>
                    <w:top w:val="none" w:sz="0" w:space="0" w:color="auto"/>
                    <w:left w:val="none" w:sz="0" w:space="0" w:color="auto"/>
                    <w:bottom w:val="none" w:sz="0" w:space="0" w:color="auto"/>
                    <w:right w:val="none" w:sz="0" w:space="0" w:color="auto"/>
                  </w:divBdr>
                  <w:divsChild>
                    <w:div w:id="2034721361">
                      <w:marLeft w:val="-3150"/>
                      <w:marRight w:val="0"/>
                      <w:marTop w:val="0"/>
                      <w:marBottom w:val="0"/>
                      <w:divBdr>
                        <w:top w:val="none" w:sz="0" w:space="0" w:color="auto"/>
                        <w:left w:val="none" w:sz="0" w:space="0" w:color="auto"/>
                        <w:bottom w:val="none" w:sz="0" w:space="0" w:color="auto"/>
                        <w:right w:val="none" w:sz="0" w:space="0" w:color="auto"/>
                      </w:divBdr>
                      <w:divsChild>
                        <w:div w:id="2034721358">
                          <w:marLeft w:val="3150"/>
                          <w:marRight w:val="0"/>
                          <w:marTop w:val="0"/>
                          <w:marBottom w:val="0"/>
                          <w:divBdr>
                            <w:top w:val="none" w:sz="0" w:space="0" w:color="auto"/>
                            <w:left w:val="none" w:sz="0" w:space="0" w:color="auto"/>
                            <w:bottom w:val="none" w:sz="0" w:space="0" w:color="auto"/>
                            <w:right w:val="none" w:sz="0" w:space="0" w:color="auto"/>
                          </w:divBdr>
                          <w:divsChild>
                            <w:div w:id="2034721314">
                              <w:marLeft w:val="0"/>
                              <w:marRight w:val="-3000"/>
                              <w:marTop w:val="0"/>
                              <w:marBottom w:val="0"/>
                              <w:divBdr>
                                <w:top w:val="none" w:sz="0" w:space="0" w:color="auto"/>
                                <w:left w:val="none" w:sz="0" w:space="0" w:color="auto"/>
                                <w:bottom w:val="none" w:sz="0" w:space="0" w:color="auto"/>
                                <w:right w:val="none" w:sz="0" w:space="0" w:color="auto"/>
                              </w:divBdr>
                              <w:divsChild>
                                <w:div w:id="2034721353">
                                  <w:marLeft w:val="0"/>
                                  <w:marRight w:val="3000"/>
                                  <w:marTop w:val="0"/>
                                  <w:marBottom w:val="0"/>
                                  <w:divBdr>
                                    <w:top w:val="none" w:sz="0" w:space="0" w:color="auto"/>
                                    <w:left w:val="none" w:sz="0" w:space="0" w:color="auto"/>
                                    <w:bottom w:val="none" w:sz="0" w:space="0" w:color="auto"/>
                                    <w:right w:val="none" w:sz="0" w:space="0" w:color="auto"/>
                                  </w:divBdr>
                                  <w:divsChild>
                                    <w:div w:id="2034721334">
                                      <w:marLeft w:val="0"/>
                                      <w:marRight w:val="0"/>
                                      <w:marTop w:val="0"/>
                                      <w:marBottom w:val="0"/>
                                      <w:divBdr>
                                        <w:top w:val="single" w:sz="6" w:space="4" w:color="E6E6E6"/>
                                        <w:left w:val="none" w:sz="0" w:space="0" w:color="auto"/>
                                        <w:bottom w:val="none" w:sz="0" w:space="0" w:color="auto"/>
                                        <w:right w:val="none" w:sz="0" w:space="0" w:color="auto"/>
                                      </w:divBdr>
                                      <w:divsChild>
                                        <w:div w:id="2034721332">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 w:id="2034721345">
      <w:marLeft w:val="0"/>
      <w:marRight w:val="0"/>
      <w:marTop w:val="0"/>
      <w:marBottom w:val="0"/>
      <w:divBdr>
        <w:top w:val="none" w:sz="0" w:space="0" w:color="auto"/>
        <w:left w:val="none" w:sz="0" w:space="0" w:color="auto"/>
        <w:bottom w:val="none" w:sz="0" w:space="0" w:color="auto"/>
        <w:right w:val="none" w:sz="0" w:space="0" w:color="auto"/>
      </w:divBdr>
      <w:divsChild>
        <w:div w:id="2034721351">
          <w:marLeft w:val="0"/>
          <w:marRight w:val="0"/>
          <w:marTop w:val="0"/>
          <w:marBottom w:val="0"/>
          <w:divBdr>
            <w:top w:val="none" w:sz="0" w:space="0" w:color="auto"/>
            <w:left w:val="none" w:sz="0" w:space="0" w:color="auto"/>
            <w:bottom w:val="none" w:sz="0" w:space="0" w:color="auto"/>
            <w:right w:val="none" w:sz="0" w:space="0" w:color="auto"/>
          </w:divBdr>
          <w:divsChild>
            <w:div w:id="2034721381">
              <w:marLeft w:val="0"/>
              <w:marRight w:val="0"/>
              <w:marTop w:val="0"/>
              <w:marBottom w:val="0"/>
              <w:divBdr>
                <w:top w:val="none" w:sz="0" w:space="0" w:color="auto"/>
                <w:left w:val="none" w:sz="0" w:space="0" w:color="auto"/>
                <w:bottom w:val="none" w:sz="0" w:space="0" w:color="auto"/>
                <w:right w:val="none" w:sz="0" w:space="0" w:color="auto"/>
              </w:divBdr>
              <w:divsChild>
                <w:div w:id="2034721309">
                  <w:marLeft w:val="0"/>
                  <w:marRight w:val="0"/>
                  <w:marTop w:val="0"/>
                  <w:marBottom w:val="0"/>
                  <w:divBdr>
                    <w:top w:val="none" w:sz="0" w:space="0" w:color="auto"/>
                    <w:left w:val="none" w:sz="0" w:space="0" w:color="auto"/>
                    <w:bottom w:val="none" w:sz="0" w:space="0" w:color="auto"/>
                    <w:right w:val="none" w:sz="0" w:space="0" w:color="auto"/>
                  </w:divBdr>
                  <w:divsChild>
                    <w:div w:id="2034721375">
                      <w:marLeft w:val="0"/>
                      <w:marRight w:val="0"/>
                      <w:marTop w:val="0"/>
                      <w:marBottom w:val="0"/>
                      <w:divBdr>
                        <w:top w:val="none" w:sz="0" w:space="0" w:color="auto"/>
                        <w:left w:val="none" w:sz="0" w:space="0" w:color="auto"/>
                        <w:bottom w:val="none" w:sz="0" w:space="0" w:color="auto"/>
                        <w:right w:val="none" w:sz="0" w:space="0" w:color="auto"/>
                      </w:divBdr>
                      <w:divsChild>
                        <w:div w:id="2034721317">
                          <w:marLeft w:val="0"/>
                          <w:marRight w:val="0"/>
                          <w:marTop w:val="0"/>
                          <w:marBottom w:val="0"/>
                          <w:divBdr>
                            <w:top w:val="none" w:sz="0" w:space="0" w:color="auto"/>
                            <w:left w:val="none" w:sz="0" w:space="0" w:color="auto"/>
                            <w:bottom w:val="none" w:sz="0" w:space="0" w:color="auto"/>
                            <w:right w:val="none" w:sz="0" w:space="0" w:color="auto"/>
                          </w:divBdr>
                          <w:divsChild>
                            <w:div w:id="2034721307">
                              <w:marLeft w:val="0"/>
                              <w:marRight w:val="0"/>
                              <w:marTop w:val="0"/>
                              <w:marBottom w:val="0"/>
                              <w:divBdr>
                                <w:top w:val="none" w:sz="0" w:space="0" w:color="auto"/>
                                <w:left w:val="none" w:sz="0" w:space="0" w:color="auto"/>
                                <w:bottom w:val="none" w:sz="0" w:space="0" w:color="auto"/>
                                <w:right w:val="none" w:sz="0" w:space="0" w:color="auto"/>
                              </w:divBdr>
                              <w:divsChild>
                                <w:div w:id="2034721313">
                                  <w:marLeft w:val="0"/>
                                  <w:marRight w:val="0"/>
                                  <w:marTop w:val="0"/>
                                  <w:marBottom w:val="0"/>
                                  <w:divBdr>
                                    <w:top w:val="single" w:sz="6" w:space="0" w:color="F5F5F5"/>
                                    <w:left w:val="single" w:sz="6" w:space="0" w:color="F5F5F5"/>
                                    <w:bottom w:val="single" w:sz="6" w:space="0" w:color="F5F5F5"/>
                                    <w:right w:val="single" w:sz="6" w:space="0" w:color="F5F5F5"/>
                                  </w:divBdr>
                                  <w:divsChild>
                                    <w:div w:id="2034721301">
                                      <w:marLeft w:val="0"/>
                                      <w:marRight w:val="0"/>
                                      <w:marTop w:val="0"/>
                                      <w:marBottom w:val="0"/>
                                      <w:divBdr>
                                        <w:top w:val="none" w:sz="0" w:space="0" w:color="auto"/>
                                        <w:left w:val="none" w:sz="0" w:space="0" w:color="auto"/>
                                        <w:bottom w:val="none" w:sz="0" w:space="0" w:color="auto"/>
                                        <w:right w:val="none" w:sz="0" w:space="0" w:color="auto"/>
                                      </w:divBdr>
                                      <w:divsChild>
                                        <w:div w:id="20347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21352">
      <w:marLeft w:val="0"/>
      <w:marRight w:val="0"/>
      <w:marTop w:val="0"/>
      <w:marBottom w:val="0"/>
      <w:divBdr>
        <w:top w:val="none" w:sz="0" w:space="0" w:color="auto"/>
        <w:left w:val="none" w:sz="0" w:space="0" w:color="auto"/>
        <w:bottom w:val="none" w:sz="0" w:space="0" w:color="auto"/>
        <w:right w:val="none" w:sz="0" w:space="0" w:color="auto"/>
      </w:divBdr>
      <w:divsChild>
        <w:div w:id="2034721324">
          <w:marLeft w:val="0"/>
          <w:marRight w:val="0"/>
          <w:marTop w:val="0"/>
          <w:marBottom w:val="0"/>
          <w:divBdr>
            <w:top w:val="none" w:sz="0" w:space="0" w:color="auto"/>
            <w:left w:val="none" w:sz="0" w:space="0" w:color="auto"/>
            <w:bottom w:val="none" w:sz="0" w:space="0" w:color="auto"/>
            <w:right w:val="none" w:sz="0" w:space="0" w:color="auto"/>
          </w:divBdr>
          <w:divsChild>
            <w:div w:id="2034721383">
              <w:marLeft w:val="0"/>
              <w:marRight w:val="0"/>
              <w:marTop w:val="0"/>
              <w:marBottom w:val="0"/>
              <w:divBdr>
                <w:top w:val="none" w:sz="0" w:space="0" w:color="auto"/>
                <w:left w:val="none" w:sz="0" w:space="0" w:color="auto"/>
                <w:bottom w:val="none" w:sz="0" w:space="0" w:color="auto"/>
                <w:right w:val="none" w:sz="0" w:space="0" w:color="auto"/>
              </w:divBdr>
              <w:divsChild>
                <w:div w:id="2034721325">
                  <w:marLeft w:val="0"/>
                  <w:marRight w:val="0"/>
                  <w:marTop w:val="0"/>
                  <w:marBottom w:val="0"/>
                  <w:divBdr>
                    <w:top w:val="none" w:sz="0" w:space="0" w:color="auto"/>
                    <w:left w:val="none" w:sz="0" w:space="0" w:color="auto"/>
                    <w:bottom w:val="none" w:sz="0" w:space="0" w:color="auto"/>
                    <w:right w:val="none" w:sz="0" w:space="0" w:color="auto"/>
                  </w:divBdr>
                  <w:divsChild>
                    <w:div w:id="2034721310">
                      <w:marLeft w:val="0"/>
                      <w:marRight w:val="0"/>
                      <w:marTop w:val="0"/>
                      <w:marBottom w:val="0"/>
                      <w:divBdr>
                        <w:top w:val="none" w:sz="0" w:space="0" w:color="auto"/>
                        <w:left w:val="none" w:sz="0" w:space="0" w:color="auto"/>
                        <w:bottom w:val="none" w:sz="0" w:space="0" w:color="auto"/>
                        <w:right w:val="none" w:sz="0" w:space="0" w:color="auto"/>
                      </w:divBdr>
                      <w:divsChild>
                        <w:div w:id="2034721380">
                          <w:marLeft w:val="0"/>
                          <w:marRight w:val="0"/>
                          <w:marTop w:val="0"/>
                          <w:marBottom w:val="0"/>
                          <w:divBdr>
                            <w:top w:val="none" w:sz="0" w:space="0" w:color="auto"/>
                            <w:left w:val="none" w:sz="0" w:space="0" w:color="auto"/>
                            <w:bottom w:val="none" w:sz="0" w:space="0" w:color="auto"/>
                            <w:right w:val="none" w:sz="0" w:space="0" w:color="auto"/>
                          </w:divBdr>
                          <w:divsChild>
                            <w:div w:id="2034721335">
                              <w:marLeft w:val="0"/>
                              <w:marRight w:val="0"/>
                              <w:marTop w:val="0"/>
                              <w:marBottom w:val="0"/>
                              <w:divBdr>
                                <w:top w:val="none" w:sz="0" w:space="0" w:color="auto"/>
                                <w:left w:val="none" w:sz="0" w:space="0" w:color="auto"/>
                                <w:bottom w:val="none" w:sz="0" w:space="0" w:color="auto"/>
                                <w:right w:val="none" w:sz="0" w:space="0" w:color="auto"/>
                              </w:divBdr>
                              <w:divsChild>
                                <w:div w:id="2034721329">
                                  <w:marLeft w:val="0"/>
                                  <w:marRight w:val="0"/>
                                  <w:marTop w:val="0"/>
                                  <w:marBottom w:val="0"/>
                                  <w:divBdr>
                                    <w:top w:val="none" w:sz="0" w:space="0" w:color="auto"/>
                                    <w:left w:val="none" w:sz="0" w:space="0" w:color="auto"/>
                                    <w:bottom w:val="none" w:sz="0" w:space="0" w:color="auto"/>
                                    <w:right w:val="none" w:sz="0" w:space="0" w:color="auto"/>
                                  </w:divBdr>
                                  <w:divsChild>
                                    <w:div w:id="2034721344">
                                      <w:marLeft w:val="0"/>
                                      <w:marRight w:val="0"/>
                                      <w:marTop w:val="0"/>
                                      <w:marBottom w:val="0"/>
                                      <w:divBdr>
                                        <w:top w:val="none" w:sz="0" w:space="0" w:color="auto"/>
                                        <w:left w:val="none" w:sz="0" w:space="0" w:color="auto"/>
                                        <w:bottom w:val="none" w:sz="0" w:space="0" w:color="auto"/>
                                        <w:right w:val="none" w:sz="0" w:space="0" w:color="auto"/>
                                      </w:divBdr>
                                      <w:divsChild>
                                        <w:div w:id="2034721342">
                                          <w:marLeft w:val="0"/>
                                          <w:marRight w:val="0"/>
                                          <w:marTop w:val="0"/>
                                          <w:marBottom w:val="0"/>
                                          <w:divBdr>
                                            <w:top w:val="none" w:sz="0" w:space="0" w:color="auto"/>
                                            <w:left w:val="none" w:sz="0" w:space="0" w:color="auto"/>
                                            <w:bottom w:val="single" w:sz="18" w:space="4" w:color="D5DCDE"/>
                                            <w:right w:val="none" w:sz="0" w:space="0" w:color="auto"/>
                                          </w:divBdr>
                                          <w:divsChild>
                                            <w:div w:id="20347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721366">
      <w:marLeft w:val="0"/>
      <w:marRight w:val="0"/>
      <w:marTop w:val="0"/>
      <w:marBottom w:val="0"/>
      <w:divBdr>
        <w:top w:val="none" w:sz="0" w:space="0" w:color="auto"/>
        <w:left w:val="none" w:sz="0" w:space="0" w:color="auto"/>
        <w:bottom w:val="none" w:sz="0" w:space="0" w:color="auto"/>
        <w:right w:val="none" w:sz="0" w:space="0" w:color="auto"/>
      </w:divBdr>
      <w:divsChild>
        <w:div w:id="2034721333">
          <w:marLeft w:val="0"/>
          <w:marRight w:val="0"/>
          <w:marTop w:val="0"/>
          <w:marBottom w:val="0"/>
          <w:divBdr>
            <w:top w:val="none" w:sz="0" w:space="0" w:color="auto"/>
            <w:left w:val="none" w:sz="0" w:space="0" w:color="auto"/>
            <w:bottom w:val="none" w:sz="0" w:space="0" w:color="auto"/>
            <w:right w:val="none" w:sz="0" w:space="0" w:color="auto"/>
          </w:divBdr>
          <w:divsChild>
            <w:div w:id="2034721331">
              <w:marLeft w:val="0"/>
              <w:marRight w:val="0"/>
              <w:marTop w:val="0"/>
              <w:marBottom w:val="0"/>
              <w:divBdr>
                <w:top w:val="none" w:sz="0" w:space="0" w:color="auto"/>
                <w:left w:val="none" w:sz="0" w:space="0" w:color="auto"/>
                <w:bottom w:val="none" w:sz="0" w:space="0" w:color="auto"/>
                <w:right w:val="none" w:sz="0" w:space="0" w:color="auto"/>
              </w:divBdr>
              <w:divsChild>
                <w:div w:id="2034721320">
                  <w:marLeft w:val="0"/>
                  <w:marRight w:val="0"/>
                  <w:marTop w:val="0"/>
                  <w:marBottom w:val="0"/>
                  <w:divBdr>
                    <w:top w:val="none" w:sz="0" w:space="0" w:color="auto"/>
                    <w:left w:val="none" w:sz="0" w:space="0" w:color="auto"/>
                    <w:bottom w:val="none" w:sz="0" w:space="0" w:color="auto"/>
                    <w:right w:val="none" w:sz="0" w:space="0" w:color="auto"/>
                  </w:divBdr>
                  <w:divsChild>
                    <w:div w:id="2034721368">
                      <w:marLeft w:val="-3150"/>
                      <w:marRight w:val="0"/>
                      <w:marTop w:val="0"/>
                      <w:marBottom w:val="0"/>
                      <w:divBdr>
                        <w:top w:val="none" w:sz="0" w:space="0" w:color="auto"/>
                        <w:left w:val="none" w:sz="0" w:space="0" w:color="auto"/>
                        <w:bottom w:val="none" w:sz="0" w:space="0" w:color="auto"/>
                        <w:right w:val="none" w:sz="0" w:space="0" w:color="auto"/>
                      </w:divBdr>
                      <w:divsChild>
                        <w:div w:id="2034721378">
                          <w:marLeft w:val="3150"/>
                          <w:marRight w:val="0"/>
                          <w:marTop w:val="0"/>
                          <w:marBottom w:val="0"/>
                          <w:divBdr>
                            <w:top w:val="none" w:sz="0" w:space="0" w:color="auto"/>
                            <w:left w:val="none" w:sz="0" w:space="0" w:color="auto"/>
                            <w:bottom w:val="none" w:sz="0" w:space="0" w:color="auto"/>
                            <w:right w:val="none" w:sz="0" w:space="0" w:color="auto"/>
                          </w:divBdr>
                          <w:divsChild>
                            <w:div w:id="2034721308">
                              <w:marLeft w:val="0"/>
                              <w:marRight w:val="-3000"/>
                              <w:marTop w:val="0"/>
                              <w:marBottom w:val="0"/>
                              <w:divBdr>
                                <w:top w:val="none" w:sz="0" w:space="0" w:color="auto"/>
                                <w:left w:val="none" w:sz="0" w:space="0" w:color="auto"/>
                                <w:bottom w:val="none" w:sz="0" w:space="0" w:color="auto"/>
                                <w:right w:val="none" w:sz="0" w:space="0" w:color="auto"/>
                              </w:divBdr>
                              <w:divsChild>
                                <w:div w:id="2034721370">
                                  <w:marLeft w:val="0"/>
                                  <w:marRight w:val="3000"/>
                                  <w:marTop w:val="0"/>
                                  <w:marBottom w:val="0"/>
                                  <w:divBdr>
                                    <w:top w:val="none" w:sz="0" w:space="0" w:color="auto"/>
                                    <w:left w:val="none" w:sz="0" w:space="0" w:color="auto"/>
                                    <w:bottom w:val="none" w:sz="0" w:space="0" w:color="auto"/>
                                    <w:right w:val="none" w:sz="0" w:space="0" w:color="auto"/>
                                  </w:divBdr>
                                  <w:divsChild>
                                    <w:div w:id="2034721379">
                                      <w:marLeft w:val="0"/>
                                      <w:marRight w:val="0"/>
                                      <w:marTop w:val="0"/>
                                      <w:marBottom w:val="0"/>
                                      <w:divBdr>
                                        <w:top w:val="single" w:sz="6" w:space="4" w:color="E6E6E6"/>
                                        <w:left w:val="none" w:sz="0" w:space="0" w:color="auto"/>
                                        <w:bottom w:val="none" w:sz="0" w:space="0" w:color="auto"/>
                                        <w:right w:val="none" w:sz="0" w:space="0" w:color="auto"/>
                                      </w:divBdr>
                                      <w:divsChild>
                                        <w:div w:id="2034721372">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 w:id="2034721371">
      <w:marLeft w:val="0"/>
      <w:marRight w:val="0"/>
      <w:marTop w:val="0"/>
      <w:marBottom w:val="0"/>
      <w:divBdr>
        <w:top w:val="none" w:sz="0" w:space="0" w:color="auto"/>
        <w:left w:val="none" w:sz="0" w:space="0" w:color="auto"/>
        <w:bottom w:val="none" w:sz="0" w:space="0" w:color="auto"/>
        <w:right w:val="none" w:sz="0" w:space="0" w:color="auto"/>
      </w:divBdr>
      <w:divsChild>
        <w:div w:id="2034721302">
          <w:marLeft w:val="0"/>
          <w:marRight w:val="0"/>
          <w:marTop w:val="0"/>
          <w:marBottom w:val="0"/>
          <w:divBdr>
            <w:top w:val="none" w:sz="0" w:space="0" w:color="auto"/>
            <w:left w:val="none" w:sz="0" w:space="0" w:color="auto"/>
            <w:bottom w:val="none" w:sz="0" w:space="0" w:color="auto"/>
            <w:right w:val="none" w:sz="0" w:space="0" w:color="auto"/>
          </w:divBdr>
          <w:divsChild>
            <w:div w:id="2034721363">
              <w:marLeft w:val="0"/>
              <w:marRight w:val="0"/>
              <w:marTop w:val="0"/>
              <w:marBottom w:val="0"/>
              <w:divBdr>
                <w:top w:val="none" w:sz="0" w:space="0" w:color="auto"/>
                <w:left w:val="none" w:sz="0" w:space="0" w:color="auto"/>
                <w:bottom w:val="none" w:sz="0" w:space="0" w:color="auto"/>
                <w:right w:val="none" w:sz="0" w:space="0" w:color="auto"/>
              </w:divBdr>
              <w:divsChild>
                <w:div w:id="2034721336">
                  <w:marLeft w:val="0"/>
                  <w:marRight w:val="0"/>
                  <w:marTop w:val="0"/>
                  <w:marBottom w:val="0"/>
                  <w:divBdr>
                    <w:top w:val="none" w:sz="0" w:space="0" w:color="auto"/>
                    <w:left w:val="none" w:sz="0" w:space="0" w:color="auto"/>
                    <w:bottom w:val="none" w:sz="0" w:space="0" w:color="auto"/>
                    <w:right w:val="none" w:sz="0" w:space="0" w:color="auto"/>
                  </w:divBdr>
                  <w:divsChild>
                    <w:div w:id="2034721377">
                      <w:marLeft w:val="0"/>
                      <w:marRight w:val="0"/>
                      <w:marTop w:val="0"/>
                      <w:marBottom w:val="0"/>
                      <w:divBdr>
                        <w:top w:val="none" w:sz="0" w:space="0" w:color="auto"/>
                        <w:left w:val="none" w:sz="0" w:space="0" w:color="auto"/>
                        <w:bottom w:val="none" w:sz="0" w:space="0" w:color="auto"/>
                        <w:right w:val="none" w:sz="0" w:space="0" w:color="auto"/>
                      </w:divBdr>
                      <w:divsChild>
                        <w:div w:id="2034721373">
                          <w:marLeft w:val="0"/>
                          <w:marRight w:val="0"/>
                          <w:marTop w:val="0"/>
                          <w:marBottom w:val="0"/>
                          <w:divBdr>
                            <w:top w:val="none" w:sz="0" w:space="0" w:color="auto"/>
                            <w:left w:val="none" w:sz="0" w:space="0" w:color="auto"/>
                            <w:bottom w:val="none" w:sz="0" w:space="0" w:color="auto"/>
                            <w:right w:val="none" w:sz="0" w:space="0" w:color="auto"/>
                          </w:divBdr>
                          <w:divsChild>
                            <w:div w:id="2034721339">
                              <w:marLeft w:val="0"/>
                              <w:marRight w:val="0"/>
                              <w:marTop w:val="0"/>
                              <w:marBottom w:val="0"/>
                              <w:divBdr>
                                <w:top w:val="none" w:sz="0" w:space="0" w:color="auto"/>
                                <w:left w:val="none" w:sz="0" w:space="0" w:color="auto"/>
                                <w:bottom w:val="none" w:sz="0" w:space="0" w:color="auto"/>
                                <w:right w:val="none" w:sz="0" w:space="0" w:color="auto"/>
                              </w:divBdr>
                              <w:divsChild>
                                <w:div w:id="2034721343">
                                  <w:marLeft w:val="0"/>
                                  <w:marRight w:val="0"/>
                                  <w:marTop w:val="0"/>
                                  <w:marBottom w:val="0"/>
                                  <w:divBdr>
                                    <w:top w:val="single" w:sz="6" w:space="0" w:color="F5F5F5"/>
                                    <w:left w:val="single" w:sz="6" w:space="0" w:color="F5F5F5"/>
                                    <w:bottom w:val="single" w:sz="6" w:space="0" w:color="F5F5F5"/>
                                    <w:right w:val="single" w:sz="6" w:space="0" w:color="F5F5F5"/>
                                  </w:divBdr>
                                  <w:divsChild>
                                    <w:div w:id="2034721323">
                                      <w:marLeft w:val="0"/>
                                      <w:marRight w:val="0"/>
                                      <w:marTop w:val="0"/>
                                      <w:marBottom w:val="0"/>
                                      <w:divBdr>
                                        <w:top w:val="none" w:sz="0" w:space="0" w:color="auto"/>
                                        <w:left w:val="none" w:sz="0" w:space="0" w:color="auto"/>
                                        <w:bottom w:val="none" w:sz="0" w:space="0" w:color="auto"/>
                                        <w:right w:val="none" w:sz="0" w:space="0" w:color="auto"/>
                                      </w:divBdr>
                                      <w:divsChild>
                                        <w:div w:id="20347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21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2768</Characters>
  <Application>Microsoft Office Word</Application>
  <DocSecurity>4</DocSecurity>
  <Lines>23</Lines>
  <Paragraphs>6</Paragraphs>
  <ScaleCrop>false</ScaleCrop>
  <Company>Bornholms Regionskommune</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1</dc:title>
  <dc:creator>Diana Grevy Lindahl</dc:creator>
  <cp:lastModifiedBy>thwj</cp:lastModifiedBy>
  <cp:revision>2</cp:revision>
  <cp:lastPrinted>2012-02-20T09:02:00Z</cp:lastPrinted>
  <dcterms:created xsi:type="dcterms:W3CDTF">2012-07-11T08:00:00Z</dcterms:created>
  <dcterms:modified xsi:type="dcterms:W3CDTF">2012-07-11T08:00:00Z</dcterms:modified>
</cp:coreProperties>
</file>