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</w:tblGrid>
      <w:tr w:rsidR="008C4323" w:rsidTr="00FE2DA8">
        <w:trPr>
          <w:trHeight w:val="1384"/>
        </w:trPr>
        <w:tc>
          <w:tcPr>
            <w:tcW w:w="7020" w:type="dxa"/>
          </w:tcPr>
          <w:p w:rsidR="008C4323" w:rsidRDefault="00620B9A" w:rsidP="00220E4C">
            <w:pPr>
              <w:pStyle w:val="Template-Dokumentnavn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15pt;height:20.35pt">
                  <v:imagedata r:id="rId8" o:title=""/>
                </v:shape>
              </w:pict>
            </w:r>
          </w:p>
        </w:tc>
      </w:tr>
      <w:tr w:rsidR="008C4323" w:rsidTr="00FE2DA8">
        <w:trPr>
          <w:trHeight w:val="2265"/>
        </w:trPr>
        <w:tc>
          <w:tcPr>
            <w:tcW w:w="7020" w:type="dxa"/>
          </w:tcPr>
          <w:p w:rsidR="008C4323" w:rsidRDefault="008C4323" w:rsidP="000063C8"/>
        </w:tc>
      </w:tr>
    </w:tbl>
    <w:p w:rsidR="005C5536" w:rsidRPr="005C5536" w:rsidRDefault="00331DC6" w:rsidP="005C5536">
      <w:pPr>
        <w:rPr>
          <w:b/>
        </w:rPr>
      </w:pPr>
      <w:r>
        <w:rPr>
          <w:b/>
        </w:rPr>
        <w:t>Grønt R</w:t>
      </w:r>
      <w:r w:rsidR="005C5536" w:rsidRPr="005C5536">
        <w:rPr>
          <w:b/>
        </w:rPr>
        <w:t>egnskab 201</w:t>
      </w:r>
      <w:r>
        <w:rPr>
          <w:b/>
        </w:rPr>
        <w:t>3</w:t>
      </w:r>
      <w:r w:rsidR="005C5536" w:rsidRPr="005C5536">
        <w:rPr>
          <w:b/>
        </w:rPr>
        <w:t xml:space="preserve"> </w:t>
      </w:r>
    </w:p>
    <w:p w:rsidR="005C5536" w:rsidRPr="005C5536" w:rsidRDefault="005C5536" w:rsidP="005C5536">
      <w:pPr>
        <w:rPr>
          <w:b/>
        </w:rPr>
      </w:pPr>
      <w:r w:rsidRPr="005C5536">
        <w:rPr>
          <w:b/>
        </w:rPr>
        <w:t xml:space="preserve">- for Furesø Kommunes virksomhed </w:t>
      </w:r>
    </w:p>
    <w:p w:rsidR="005C5536" w:rsidRPr="005C5536" w:rsidRDefault="005C5536" w:rsidP="005C5536">
      <w:pPr>
        <w:rPr>
          <w:b/>
        </w:rPr>
      </w:pPr>
    </w:p>
    <w:p w:rsidR="005C5536" w:rsidRPr="005C5536" w:rsidRDefault="005C5536" w:rsidP="005C5536">
      <w:pPr>
        <w:rPr>
          <w:b/>
        </w:rPr>
      </w:pPr>
      <w:r w:rsidRPr="005C5536">
        <w:rPr>
          <w:b/>
        </w:rPr>
        <w:t xml:space="preserve">1. Indledning </w:t>
      </w:r>
    </w:p>
    <w:p w:rsidR="005C5536" w:rsidRPr="005C5536" w:rsidRDefault="005C5536" w:rsidP="005C5536">
      <w:r w:rsidRPr="005C5536">
        <w:t xml:space="preserve">Furesø Kommune tilsluttede sig i 2008 Danmarks Naturfredningsforenings </w:t>
      </w:r>
    </w:p>
    <w:p w:rsidR="005C5536" w:rsidRPr="005C5536" w:rsidRDefault="005C5536" w:rsidP="005C5536">
      <w:r w:rsidRPr="005C5536">
        <w:t>Klimakommune</w:t>
      </w:r>
      <w:r w:rsidR="00D80AD1">
        <w:t>aftale</w:t>
      </w:r>
      <w:r w:rsidRPr="005C5536">
        <w:t xml:space="preserve"> </w:t>
      </w:r>
      <w:r w:rsidR="001F4483">
        <w:t xml:space="preserve">og fornyede </w:t>
      </w:r>
      <w:r w:rsidR="00D80AD1">
        <w:t xml:space="preserve">den </w:t>
      </w:r>
      <w:r w:rsidR="001F4483">
        <w:t xml:space="preserve">i marts 2014. Kommunen har </w:t>
      </w:r>
      <w:r w:rsidRPr="005C5536">
        <w:t>stor</w:t>
      </w:r>
      <w:r w:rsidR="00331DC6">
        <w:t>t fo</w:t>
      </w:r>
      <w:r w:rsidR="00D80AD1">
        <w:t>kus på klimaområdet. Grønt Regnskab 2014</w:t>
      </w:r>
      <w:r w:rsidRPr="005C5536">
        <w:t xml:space="preserve"> indsendes til Danmarks Naturfre</w:t>
      </w:r>
      <w:r w:rsidRPr="005C5536">
        <w:t>d</w:t>
      </w:r>
      <w:r w:rsidRPr="005C5536">
        <w:t>ningsforening</w:t>
      </w:r>
      <w:r w:rsidR="006D1968">
        <w:t xml:space="preserve">. </w:t>
      </w:r>
      <w:r w:rsidRPr="005C5536">
        <w:t xml:space="preserve">Furesø Kommune </w:t>
      </w:r>
      <w:r w:rsidR="006D1968">
        <w:t xml:space="preserve">lever </w:t>
      </w:r>
      <w:r w:rsidRPr="005C5536">
        <w:t>op til sine forpligtelser som klimako</w:t>
      </w:r>
      <w:r w:rsidRPr="005C5536">
        <w:t>m</w:t>
      </w:r>
      <w:r w:rsidRPr="005C5536">
        <w:t xml:space="preserve">mune. </w:t>
      </w:r>
    </w:p>
    <w:p w:rsidR="005C5536" w:rsidRPr="005C5536" w:rsidRDefault="005C5536" w:rsidP="005C5536"/>
    <w:p w:rsidR="005C5536" w:rsidRPr="005C5536" w:rsidRDefault="00D80AD1" w:rsidP="005C5536">
      <w:r>
        <w:t>Grønt Regnskab 2014</w:t>
      </w:r>
      <w:r w:rsidR="005C5536" w:rsidRPr="005C5536">
        <w:t xml:space="preserve"> er udarbejdet </w:t>
      </w:r>
      <w:r>
        <w:t>ud fra</w:t>
      </w:r>
      <w:r w:rsidR="005C5536" w:rsidRPr="005C5536">
        <w:t xml:space="preserve"> </w:t>
      </w:r>
      <w:r w:rsidR="00791EC1">
        <w:t>data om e</w:t>
      </w:r>
      <w:r w:rsidR="005C5536" w:rsidRPr="005C5536">
        <w:t>l</w:t>
      </w:r>
      <w:r w:rsidR="00CE1BE1">
        <w:t>-</w:t>
      </w:r>
      <w:r w:rsidR="005C5536" w:rsidRPr="005C5536">
        <w:t>, vand- og varmeforbrug i Fure</w:t>
      </w:r>
      <w:r w:rsidR="00791EC1">
        <w:t>sø Kommunes bygninger, data</w:t>
      </w:r>
      <w:r w:rsidR="005C5536" w:rsidRPr="005C5536">
        <w:t xml:space="preserve"> er registreret i systemet Keep Fokus. Endv</w:t>
      </w:r>
      <w:r w:rsidR="005C5536" w:rsidRPr="005C5536">
        <w:t>i</w:t>
      </w:r>
      <w:r w:rsidR="005C5536" w:rsidRPr="005C5536">
        <w:t xml:space="preserve">dere er der anvendt registreringer af brændstof til kørsel samt oplysninger fra DONG om energiforbrug til vejbelysningen. </w:t>
      </w:r>
    </w:p>
    <w:p w:rsidR="005C5536" w:rsidRPr="005C5536" w:rsidRDefault="005C5536" w:rsidP="005C5536"/>
    <w:p w:rsidR="005C5536" w:rsidRPr="005C5536" w:rsidRDefault="005C5536" w:rsidP="005C5536">
      <w:pPr>
        <w:rPr>
          <w:b/>
        </w:rPr>
      </w:pPr>
      <w:r w:rsidRPr="005C5536">
        <w:rPr>
          <w:b/>
        </w:rPr>
        <w:t>2. Resultater</w:t>
      </w:r>
    </w:p>
    <w:p w:rsidR="00E20C90" w:rsidRDefault="005C5536" w:rsidP="005C5536">
      <w:r w:rsidRPr="005C5536">
        <w:t xml:space="preserve">Regnskabet viser, at </w:t>
      </w:r>
      <w:r w:rsidR="00E20C90">
        <w:t>Furesø K</w:t>
      </w:r>
      <w:r w:rsidRPr="005C5536">
        <w:t xml:space="preserve">ommunen har reduceret </w:t>
      </w:r>
      <w:r w:rsidR="00E20C90">
        <w:t xml:space="preserve">udledningen af </w:t>
      </w:r>
      <w:r w:rsidRPr="005C5536">
        <w:t>CO</w:t>
      </w:r>
      <w:r w:rsidRPr="005C5536">
        <w:rPr>
          <w:vertAlign w:val="subscript"/>
        </w:rPr>
        <w:t>2</w:t>
      </w:r>
      <w:r w:rsidRPr="005C5536">
        <w:t xml:space="preserve"> med </w:t>
      </w:r>
      <w:r w:rsidR="00E20C90">
        <w:t>13</w:t>
      </w:r>
      <w:r w:rsidR="00E20C90" w:rsidRPr="005C5536">
        <w:t xml:space="preserve"> % fra 201</w:t>
      </w:r>
      <w:r w:rsidR="00E20C90">
        <w:t>2</w:t>
      </w:r>
      <w:r w:rsidR="00E20C90" w:rsidRPr="005C5536">
        <w:t xml:space="preserve"> til 201</w:t>
      </w:r>
      <w:r w:rsidR="00E20C90">
        <w:t>3. Den samlede reduk</w:t>
      </w:r>
      <w:r w:rsidR="00D80AD1">
        <w:t>tion fra 2008 til 2013 er 39 %. Fur</w:t>
      </w:r>
      <w:r w:rsidR="00D80AD1">
        <w:t>e</w:t>
      </w:r>
      <w:r w:rsidR="00D80AD1">
        <w:t>sø Kommune har i Klimakommuneaftalen forpligtet sig til at reducere udle</w:t>
      </w:r>
      <w:r w:rsidR="00D80AD1">
        <w:t>d</w:t>
      </w:r>
      <w:r w:rsidR="00D80AD1">
        <w:t>ningen af CO</w:t>
      </w:r>
      <w:r w:rsidR="00D80AD1" w:rsidRPr="00D80AD1">
        <w:rPr>
          <w:vertAlign w:val="subscript"/>
        </w:rPr>
        <w:t>2</w:t>
      </w:r>
      <w:r w:rsidR="00D80AD1">
        <w:t xml:space="preserve"> med 2 % pr år, reduktionen overstiger langt dette mål. </w:t>
      </w:r>
    </w:p>
    <w:p w:rsidR="00EA0D53" w:rsidRDefault="00EA0D53" w:rsidP="005C5536">
      <w:pPr>
        <w:rPr>
          <w:noProof/>
        </w:rPr>
      </w:pPr>
    </w:p>
    <w:tbl>
      <w:tblPr>
        <w:tblW w:w="8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834"/>
        <w:gridCol w:w="850"/>
        <w:gridCol w:w="709"/>
        <w:gridCol w:w="1134"/>
        <w:gridCol w:w="1134"/>
        <w:gridCol w:w="1134"/>
        <w:gridCol w:w="1134"/>
      </w:tblGrid>
      <w:tr w:rsidR="00007633" w:rsidRPr="00007633" w:rsidTr="00007633">
        <w:trPr>
          <w:trHeight w:val="25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620B9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00763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6450">
              <w:rPr>
                <w:rFonts w:ascii="Arial" w:hAnsi="Arial" w:cs="Arial"/>
                <w:b/>
                <w:bCs/>
                <w:sz w:val="20"/>
                <w:szCs w:val="20"/>
              </w:rPr>
              <w:t>udle</w:t>
            </w:r>
            <w:r w:rsidR="0046645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664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ning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>Tons CO</w:t>
            </w:r>
            <w:r w:rsidRPr="000076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>Ændring i Tons CO</w:t>
            </w:r>
            <w:r w:rsidRPr="00E20C90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>% ændring i CO</w:t>
            </w:r>
            <w:r w:rsidRPr="0000763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7633" w:rsidRPr="00007633" w:rsidTr="0000763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2008-2013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2012-2013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2008-2013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2012-2013</w:t>
            </w:r>
          </w:p>
        </w:tc>
      </w:tr>
      <w:tr w:rsidR="00007633" w:rsidRPr="00007633" w:rsidTr="0000763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-10,8</w:t>
            </w:r>
          </w:p>
        </w:tc>
      </w:tr>
      <w:tr w:rsidR="00007633" w:rsidRPr="00007633" w:rsidTr="0000763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Vejbelysning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1.089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-1,6</w:t>
            </w:r>
          </w:p>
        </w:tc>
      </w:tr>
      <w:tr w:rsidR="00007633" w:rsidRPr="00007633" w:rsidTr="0000763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Elforbrug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4.433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2.256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2.172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-2.261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-3,7</w:t>
            </w:r>
          </w:p>
        </w:tc>
      </w:tr>
      <w:tr w:rsidR="00007633" w:rsidRPr="00007633" w:rsidTr="0000763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Varmeforbrug graddage korrigeret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4.655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4.123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>3.216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-1.439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-22,0</w:t>
            </w:r>
          </w:p>
        </w:tc>
      </w:tr>
      <w:tr w:rsidR="00007633" w:rsidRPr="00007633" w:rsidTr="0000763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Vandforbrug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791EC1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633">
              <w:rPr>
                <w:rFonts w:ascii="Arial" w:hAnsi="Arial" w:cs="Arial"/>
                <w:sz w:val="20"/>
                <w:szCs w:val="20"/>
              </w:rPr>
              <w:t>-6,1</w:t>
            </w:r>
          </w:p>
        </w:tc>
      </w:tr>
      <w:tr w:rsidR="00007633" w:rsidRPr="00007633" w:rsidTr="0000763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>Total CO</w:t>
            </w:r>
            <w:r w:rsidRPr="0000763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emission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>10.648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>7.520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>6.477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>-4.172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>-1.043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>-39,2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633" w:rsidRPr="00007633" w:rsidRDefault="00007633" w:rsidP="0000763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633">
              <w:rPr>
                <w:rFonts w:ascii="Arial" w:hAnsi="Arial" w:cs="Arial"/>
                <w:b/>
                <w:bCs/>
                <w:sz w:val="20"/>
                <w:szCs w:val="20"/>
              </w:rPr>
              <w:t>-13,9</w:t>
            </w:r>
          </w:p>
        </w:tc>
      </w:tr>
    </w:tbl>
    <w:p w:rsidR="00007633" w:rsidRDefault="00007633" w:rsidP="005C5536">
      <w:pPr>
        <w:rPr>
          <w:noProof/>
        </w:rPr>
      </w:pPr>
    </w:p>
    <w:p w:rsidR="00E20C90" w:rsidRDefault="008F49CC" w:rsidP="005C5536">
      <w:pPr>
        <w:rPr>
          <w:noProof/>
        </w:rPr>
      </w:pPr>
      <w:r>
        <w:rPr>
          <w:noProof/>
        </w:rPr>
        <w:t>Reduktionen i CO</w:t>
      </w:r>
      <w:r w:rsidRPr="008F49CC">
        <w:rPr>
          <w:noProof/>
          <w:vertAlign w:val="subscript"/>
        </w:rPr>
        <w:t>2</w:t>
      </w:r>
      <w:r>
        <w:rPr>
          <w:noProof/>
        </w:rPr>
        <w:t xml:space="preserve"> udledning </w:t>
      </w:r>
      <w:r w:rsidR="00B23B21" w:rsidRPr="005C5536">
        <w:rPr>
          <w:noProof/>
        </w:rPr>
        <w:t xml:space="preserve">skyldes et samspil </w:t>
      </w:r>
      <w:r w:rsidR="00434859">
        <w:rPr>
          <w:noProof/>
        </w:rPr>
        <w:t xml:space="preserve">mellem </w:t>
      </w:r>
      <w:r w:rsidR="00662CFF">
        <w:rPr>
          <w:noProof/>
        </w:rPr>
        <w:t xml:space="preserve">tekniske forbedringer </w:t>
      </w:r>
      <w:r w:rsidR="00E20C90">
        <w:rPr>
          <w:noProof/>
        </w:rPr>
        <w:t xml:space="preserve">i bygningerne, forbedring af kompetencerne blandt de tekniske medarbejdere der er i bygningerne </w:t>
      </w:r>
      <w:r w:rsidR="00662CFF">
        <w:rPr>
          <w:noProof/>
        </w:rPr>
        <w:t>og</w:t>
      </w:r>
      <w:r w:rsidR="00B23B21" w:rsidRPr="005C5536">
        <w:rPr>
          <w:noProof/>
        </w:rPr>
        <w:t xml:space="preserve"> </w:t>
      </w:r>
      <w:r w:rsidR="00662CFF">
        <w:rPr>
          <w:noProof/>
        </w:rPr>
        <w:t>m</w:t>
      </w:r>
      <w:r w:rsidR="00662CFF" w:rsidRPr="005C5536">
        <w:rPr>
          <w:noProof/>
        </w:rPr>
        <w:t>iljø- og klimaambassadørernes</w:t>
      </w:r>
      <w:r w:rsidR="00E20C90">
        <w:t xml:space="preserve"> indsats</w:t>
      </w:r>
      <w:r>
        <w:t xml:space="preserve">. </w:t>
      </w:r>
      <w:r w:rsidR="00E20C90" w:rsidRPr="00E20C90">
        <w:rPr>
          <w:noProof/>
        </w:rPr>
        <w:t xml:space="preserve">Kommunens miljø- og klimaambassadører </w:t>
      </w:r>
      <w:r>
        <w:rPr>
          <w:noProof/>
        </w:rPr>
        <w:t xml:space="preserve">skaber fokus på at reducere brug af overflødige </w:t>
      </w:r>
      <w:r>
        <w:rPr>
          <w:noProof/>
        </w:rPr>
        <w:lastRenderedPageBreak/>
        <w:t xml:space="preserve">ressourcer med klimarigtig adfærd blandt medarbejdere og brugere på Furesø Kommunes interne arbejdspladser. Ambassadørerne </w:t>
      </w:r>
      <w:r w:rsidR="00EC049B">
        <w:rPr>
          <w:noProof/>
        </w:rPr>
        <w:t>opnår markante resultater med konkurrencer, adfærdskampagner og tilskynder til</w:t>
      </w:r>
      <w:r w:rsidR="00EA0D53">
        <w:rPr>
          <w:noProof/>
        </w:rPr>
        <w:t>,</w:t>
      </w:r>
      <w:r w:rsidR="00EC049B">
        <w:rPr>
          <w:noProof/>
        </w:rPr>
        <w:t xml:space="preserve"> </w:t>
      </w:r>
      <w:r>
        <w:rPr>
          <w:noProof/>
        </w:rPr>
        <w:t xml:space="preserve">at </w:t>
      </w:r>
      <w:r w:rsidR="00EC049B">
        <w:rPr>
          <w:noProof/>
        </w:rPr>
        <w:t xml:space="preserve">de </w:t>
      </w:r>
      <w:r>
        <w:rPr>
          <w:noProof/>
        </w:rPr>
        <w:t>tekniske</w:t>
      </w:r>
      <w:r w:rsidR="00EC049B">
        <w:rPr>
          <w:noProof/>
        </w:rPr>
        <w:t xml:space="preserve"> muligheder for at reducere ressourceforbruget udnyttes.</w:t>
      </w:r>
    </w:p>
    <w:p w:rsidR="00EC049B" w:rsidRDefault="00EC049B" w:rsidP="005C5536">
      <w:pPr>
        <w:rPr>
          <w:noProof/>
        </w:rPr>
      </w:pPr>
    </w:p>
    <w:p w:rsidR="00791EC1" w:rsidRDefault="00EC049B" w:rsidP="005C5536">
      <w:r>
        <w:rPr>
          <w:noProof/>
        </w:rPr>
        <w:t>Furesø Kommunes b</w:t>
      </w:r>
      <w:r w:rsidR="00791EC1">
        <w:rPr>
          <w:noProof/>
        </w:rPr>
        <w:t>ygninger renoveres løbende, i den forbindelse forbedres bygningerne også på det tekniske område for</w:t>
      </w:r>
      <w:r>
        <w:rPr>
          <w:noProof/>
        </w:rPr>
        <w:t xml:space="preserve"> at reducere ressourceforbruget. </w:t>
      </w:r>
      <w:r w:rsidR="00791EC1">
        <w:t xml:space="preserve">Nogle af de tekniske forbedringer </w:t>
      </w:r>
      <w:r w:rsidR="00C66AE6">
        <w:t>i 2013</w:t>
      </w:r>
      <w:r w:rsidR="00245ED0">
        <w:t xml:space="preserve"> er </w:t>
      </w:r>
    </w:p>
    <w:p w:rsidR="00791EC1" w:rsidRDefault="00FE53B7" w:rsidP="00791EC1">
      <w:pPr>
        <w:numPr>
          <w:ilvl w:val="0"/>
          <w:numId w:val="6"/>
        </w:numPr>
      </w:pPr>
      <w:r>
        <w:t>nye varmesystemer</w:t>
      </w:r>
    </w:p>
    <w:p w:rsidR="00791EC1" w:rsidRDefault="005C5536" w:rsidP="00791EC1">
      <w:pPr>
        <w:numPr>
          <w:ilvl w:val="0"/>
          <w:numId w:val="6"/>
        </w:numPr>
      </w:pPr>
      <w:r w:rsidRPr="005C5536">
        <w:t>solceller</w:t>
      </w:r>
    </w:p>
    <w:p w:rsidR="00791EC1" w:rsidRDefault="0027061F" w:rsidP="00791EC1">
      <w:pPr>
        <w:numPr>
          <w:ilvl w:val="0"/>
          <w:numId w:val="6"/>
        </w:numPr>
      </w:pPr>
      <w:r>
        <w:t>ny</w:t>
      </w:r>
      <w:r w:rsidR="00E20C90">
        <w:t>e</w:t>
      </w:r>
      <w:r>
        <w:t xml:space="preserve"> styring</w:t>
      </w:r>
      <w:r w:rsidR="00C66AE6">
        <w:t>ssystemet på</w:t>
      </w:r>
      <w:r>
        <w:t xml:space="preserve"> </w:t>
      </w:r>
      <w:r w:rsidR="00FE53B7">
        <w:t>varme</w:t>
      </w:r>
      <w:r>
        <w:t xml:space="preserve">- og </w:t>
      </w:r>
      <w:r w:rsidR="005C5536" w:rsidRPr="005C5536">
        <w:t>ventilation</w:t>
      </w:r>
      <w:r w:rsidR="00C66AE6">
        <w:t>ssystemer</w:t>
      </w:r>
      <w:r w:rsidR="00434859">
        <w:t xml:space="preserve"> </w:t>
      </w:r>
    </w:p>
    <w:p w:rsidR="00791EC1" w:rsidRDefault="00791EC1" w:rsidP="00791EC1"/>
    <w:p w:rsidR="00E20C90" w:rsidRDefault="00E20C90" w:rsidP="00791EC1">
      <w:r w:rsidRPr="00E20C90">
        <w:t>I dele af Værløse er varmekilden blevet ændret fra naturgas til fjernvarme fra Vestforbrænding.</w:t>
      </w:r>
    </w:p>
    <w:p w:rsidR="005C5536" w:rsidRPr="005C5536" w:rsidRDefault="005C5536" w:rsidP="005C5536"/>
    <w:p w:rsidR="005C5536" w:rsidRPr="005C5536" w:rsidRDefault="005C5536" w:rsidP="005C5536">
      <w:pPr>
        <w:rPr>
          <w:b/>
        </w:rPr>
      </w:pPr>
      <w:r w:rsidRPr="005C5536">
        <w:rPr>
          <w:b/>
        </w:rPr>
        <w:t xml:space="preserve">3. Kommentarer til regnskabet </w:t>
      </w:r>
    </w:p>
    <w:p w:rsidR="005C5536" w:rsidRPr="005C5536" w:rsidRDefault="005C5536" w:rsidP="005C5536">
      <w:pPr>
        <w:rPr>
          <w:b/>
        </w:rPr>
      </w:pPr>
      <w:r w:rsidRPr="005C5536">
        <w:rPr>
          <w:b/>
        </w:rPr>
        <w:t xml:space="preserve">Elforbruget i kommunens bygninger </w:t>
      </w:r>
    </w:p>
    <w:p w:rsidR="00176FCF" w:rsidRDefault="005C5536" w:rsidP="005C5536">
      <w:r w:rsidRPr="005C5536">
        <w:t>Elforbruget i kommunens bygninger er faldet fra 7.</w:t>
      </w:r>
      <w:r w:rsidR="00434859">
        <w:t>725</w:t>
      </w:r>
      <w:r w:rsidRPr="005C5536">
        <w:t xml:space="preserve"> MWh i 201</w:t>
      </w:r>
      <w:r w:rsidR="00434859">
        <w:t>2</w:t>
      </w:r>
      <w:r w:rsidRPr="005C5536">
        <w:t xml:space="preserve"> til </w:t>
      </w:r>
      <w:r w:rsidR="00434859">
        <w:t>7.438</w:t>
      </w:r>
      <w:r w:rsidRPr="005C5536">
        <w:t xml:space="preserve"> MWh i 201</w:t>
      </w:r>
      <w:r w:rsidR="00434859">
        <w:t>3</w:t>
      </w:r>
      <w:r w:rsidRPr="005C5536">
        <w:t xml:space="preserve">, </w:t>
      </w:r>
      <w:r w:rsidR="00EA0798">
        <w:t xml:space="preserve">hvilket er en reduktion </w:t>
      </w:r>
      <w:r w:rsidRPr="005C5536">
        <w:t xml:space="preserve">på </w:t>
      </w:r>
      <w:r w:rsidR="00434859">
        <w:t>287</w:t>
      </w:r>
      <w:r w:rsidR="00EA0798">
        <w:t xml:space="preserve"> MWh og </w:t>
      </w:r>
      <w:r w:rsidRPr="005C5536">
        <w:t>svare</w:t>
      </w:r>
      <w:r w:rsidR="00EA0798">
        <w:t>r</w:t>
      </w:r>
      <w:r w:rsidRPr="005C5536">
        <w:t xml:space="preserve"> til ca. </w:t>
      </w:r>
      <w:r w:rsidR="00434859">
        <w:t>3,7 %</w:t>
      </w:r>
      <w:r w:rsidRPr="005C5536">
        <w:t xml:space="preserve">. </w:t>
      </w:r>
    </w:p>
    <w:p w:rsidR="00176FCF" w:rsidRDefault="00176FCF" w:rsidP="005C5536"/>
    <w:p w:rsidR="00EA0798" w:rsidRDefault="004B4613" w:rsidP="005C5536">
      <w:r>
        <w:t>Reduktionen skyldes</w:t>
      </w:r>
      <w:r w:rsidR="005C5536" w:rsidRPr="005C5536">
        <w:t xml:space="preserve"> tekniske forbedringer </w:t>
      </w:r>
      <w:r w:rsidR="00EA0798">
        <w:t xml:space="preserve">og </w:t>
      </w:r>
      <w:r w:rsidR="005C5536" w:rsidRPr="005C5536">
        <w:t xml:space="preserve">miljø- og klimaambassadørernes indsats for klimarigtig adfærd. Ambassadørernes indsats </w:t>
      </w:r>
      <w:r w:rsidR="00EA0798">
        <w:t>dokumenteres</w:t>
      </w:r>
      <w:r w:rsidR="005C5536" w:rsidRPr="005C5536">
        <w:t xml:space="preserve"> tydeligst i de</w:t>
      </w:r>
      <w:r w:rsidR="00B87A88">
        <w:t xml:space="preserve"> bygninger</w:t>
      </w:r>
      <w:r w:rsidR="005C5536" w:rsidRPr="005C5536">
        <w:t>, hvor der ikke er lavet tekniske forbed</w:t>
      </w:r>
      <w:r w:rsidR="00EA0798">
        <w:t>ringer. I bygninger der i</w:t>
      </w:r>
      <w:r w:rsidR="00EA0798">
        <w:t>k</w:t>
      </w:r>
      <w:r w:rsidR="00EA0798">
        <w:t xml:space="preserve">ke er forbedret teknisk har ambassadørerne </w:t>
      </w:r>
      <w:r w:rsidR="005C5536" w:rsidRPr="005C5536">
        <w:t>kunnet skabe en reduktion på ge</w:t>
      </w:r>
      <w:r w:rsidR="005C5536" w:rsidRPr="005C5536">
        <w:t>n</w:t>
      </w:r>
      <w:r w:rsidR="005C5536" w:rsidRPr="005C5536">
        <w:t xml:space="preserve">nemsnitligt </w:t>
      </w:r>
      <w:r w:rsidR="00B87A88">
        <w:t xml:space="preserve">3,8 % </w:t>
      </w:r>
      <w:r w:rsidR="005C5536" w:rsidRPr="005C5536">
        <w:t xml:space="preserve">i elforbruget via klimarigtig adfærd. </w:t>
      </w:r>
    </w:p>
    <w:p w:rsidR="00EA0798" w:rsidRDefault="00EA0798" w:rsidP="005C5536"/>
    <w:p w:rsidR="005C5536" w:rsidRDefault="005C5536" w:rsidP="005C5536">
      <w:r w:rsidRPr="005C5536">
        <w:t xml:space="preserve">De store fald i elforbruget findes </w:t>
      </w:r>
      <w:r w:rsidR="00434859">
        <w:t xml:space="preserve">i kulturhusene </w:t>
      </w:r>
      <w:r w:rsidRPr="005C5536">
        <w:t>med 1</w:t>
      </w:r>
      <w:r w:rsidR="00434859">
        <w:t>9</w:t>
      </w:r>
      <w:r w:rsidRPr="005C5536">
        <w:t xml:space="preserve"> %</w:t>
      </w:r>
      <w:r w:rsidR="00434859">
        <w:t>, skolerne med 8,5 % og administration med 6,3</w:t>
      </w:r>
      <w:r w:rsidR="00EA0798">
        <w:t xml:space="preserve"> %. D</w:t>
      </w:r>
      <w:r w:rsidRPr="005C5536">
        <w:t>isse fald skyldes i høj grad de tekniske tiltag, der er foretaget i 2012</w:t>
      </w:r>
      <w:r w:rsidR="000F3E14">
        <w:t>-</w:t>
      </w:r>
      <w:r w:rsidR="00434859">
        <w:t xml:space="preserve"> og </w:t>
      </w:r>
      <w:r w:rsidR="004B4613">
        <w:t>20</w:t>
      </w:r>
      <w:r w:rsidR="00434859">
        <w:t>13</w:t>
      </w:r>
      <w:r w:rsidRPr="005C5536">
        <w:t xml:space="preserve">.  I tabellen herunder ses forbruget </w:t>
      </w:r>
      <w:r w:rsidR="00466450">
        <w:t xml:space="preserve">målt </w:t>
      </w:r>
      <w:r w:rsidRPr="005C5536">
        <w:t>i MWh.</w:t>
      </w:r>
    </w:p>
    <w:p w:rsidR="00434859" w:rsidRPr="005C5536" w:rsidRDefault="00434859" w:rsidP="005C5536"/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134"/>
        <w:gridCol w:w="1276"/>
        <w:gridCol w:w="1276"/>
        <w:gridCol w:w="1134"/>
      </w:tblGrid>
      <w:tr w:rsidR="00434859" w:rsidRPr="00434859" w:rsidTr="00434859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8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Elforbrug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859">
              <w:rPr>
                <w:rFonts w:ascii="Arial" w:hAnsi="Arial" w:cs="Arial"/>
                <w:b/>
                <w:bCs/>
                <w:sz w:val="20"/>
                <w:szCs w:val="20"/>
              </w:rPr>
              <w:t>Elforbrug MWh</w:t>
            </w:r>
          </w:p>
        </w:tc>
      </w:tr>
      <w:tr w:rsidR="00434859" w:rsidRPr="00434859" w:rsidTr="0043485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A668B6" w:rsidRDefault="00434859" w:rsidP="00434859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B6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A668B6" w:rsidRDefault="00434859" w:rsidP="00434859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B6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A668B6" w:rsidRDefault="00434859" w:rsidP="00434859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B6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A668B6" w:rsidRDefault="00434859" w:rsidP="00434859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8B6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434859" w:rsidRPr="00434859" w:rsidTr="0043485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</w:tr>
      <w:tr w:rsidR="00434859" w:rsidRPr="00434859" w:rsidTr="0043485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Andre ejendomme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</w:tr>
      <w:tr w:rsidR="00434859" w:rsidRPr="00434859" w:rsidTr="0043485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Daginstitutioner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1.012</w:t>
            </w:r>
          </w:p>
        </w:tc>
      </w:tr>
      <w:tr w:rsidR="00434859" w:rsidRPr="00434859" w:rsidTr="0043485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Forsamlingshuse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434859" w:rsidRPr="00434859" w:rsidTr="0043485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Idræt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1.013</w:t>
            </w:r>
          </w:p>
        </w:tc>
      </w:tr>
      <w:tr w:rsidR="00434859" w:rsidRPr="00434859" w:rsidTr="0043485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Kultur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</w:tr>
      <w:tr w:rsidR="00434859" w:rsidRPr="00434859" w:rsidTr="0043485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D01804" w:rsidP="004348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Ældre- og </w:t>
            </w:r>
            <w:r w:rsidR="00434859" w:rsidRPr="00434859">
              <w:rPr>
                <w:rFonts w:ascii="Arial" w:hAnsi="Arial" w:cs="Arial"/>
                <w:sz w:val="20"/>
                <w:szCs w:val="20"/>
              </w:rPr>
              <w:t>Plej</w:t>
            </w:r>
            <w:r w:rsidR="00434859" w:rsidRPr="0043485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området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1.201</w:t>
            </w:r>
          </w:p>
        </w:tc>
      </w:tr>
      <w:tr w:rsidR="00434859" w:rsidRPr="00434859" w:rsidTr="0043485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Skoler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2.689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2.278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1.783</w:t>
            </w:r>
          </w:p>
        </w:tc>
      </w:tr>
      <w:tr w:rsidR="00434859" w:rsidRPr="00434859" w:rsidTr="0043485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Spejderhytter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434859" w:rsidRPr="00434859" w:rsidTr="0043485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Svømmehaller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859">
              <w:rPr>
                <w:rFonts w:ascii="Arial" w:hAnsi="Arial" w:cs="Arial"/>
                <w:sz w:val="20"/>
                <w:szCs w:val="20"/>
              </w:rPr>
              <w:t>1.002</w:t>
            </w:r>
          </w:p>
        </w:tc>
      </w:tr>
      <w:tr w:rsidR="00434859" w:rsidRPr="00434859" w:rsidTr="0043485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859">
              <w:rPr>
                <w:rFonts w:ascii="Arial" w:hAnsi="Arial" w:cs="Arial"/>
                <w:b/>
                <w:bCs/>
                <w:sz w:val="20"/>
                <w:szCs w:val="20"/>
              </w:rPr>
              <w:t>I alt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859">
              <w:rPr>
                <w:rFonts w:ascii="Arial" w:hAnsi="Arial" w:cs="Arial"/>
                <w:b/>
                <w:bCs/>
                <w:sz w:val="20"/>
                <w:szCs w:val="20"/>
              </w:rPr>
              <w:t>9.451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859">
              <w:rPr>
                <w:rFonts w:ascii="Arial" w:hAnsi="Arial" w:cs="Arial"/>
                <w:b/>
                <w:bCs/>
                <w:sz w:val="20"/>
                <w:szCs w:val="20"/>
              </w:rPr>
              <w:t>8.154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859">
              <w:rPr>
                <w:rFonts w:ascii="Arial" w:hAnsi="Arial" w:cs="Arial"/>
                <w:b/>
                <w:bCs/>
                <w:sz w:val="20"/>
                <w:szCs w:val="20"/>
              </w:rPr>
              <w:t>7.725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59" w:rsidRPr="00434859" w:rsidRDefault="00434859" w:rsidP="0043485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859">
              <w:rPr>
                <w:rFonts w:ascii="Arial" w:hAnsi="Arial" w:cs="Arial"/>
                <w:b/>
                <w:bCs/>
                <w:sz w:val="20"/>
                <w:szCs w:val="20"/>
              </w:rPr>
              <w:t>7.438</w:t>
            </w:r>
          </w:p>
        </w:tc>
      </w:tr>
    </w:tbl>
    <w:p w:rsidR="005C5536" w:rsidRPr="005C5536" w:rsidRDefault="005C5536" w:rsidP="005C5536"/>
    <w:p w:rsidR="00F65D6E" w:rsidRDefault="005C5536" w:rsidP="004B4613">
      <w:r w:rsidRPr="005C5536">
        <w:rPr>
          <w:szCs w:val="22"/>
        </w:rPr>
        <w:lastRenderedPageBreak/>
        <w:t>De større tekniske forbedringer i 201</w:t>
      </w:r>
      <w:r w:rsidR="000F3E14">
        <w:rPr>
          <w:szCs w:val="22"/>
        </w:rPr>
        <w:t>3</w:t>
      </w:r>
      <w:r w:rsidRPr="005C5536">
        <w:rPr>
          <w:szCs w:val="22"/>
        </w:rPr>
        <w:t xml:space="preserve"> omfatter </w:t>
      </w:r>
      <w:r w:rsidR="00F65D6E">
        <w:rPr>
          <w:szCs w:val="22"/>
        </w:rPr>
        <w:t>blandt andet</w:t>
      </w:r>
      <w:r w:rsidRPr="005C5536">
        <w:rPr>
          <w:szCs w:val="22"/>
        </w:rPr>
        <w:t xml:space="preserve"> </w:t>
      </w:r>
      <w:r w:rsidRPr="005C5536">
        <w:t xml:space="preserve">energirenovering af tekniske installationer på </w:t>
      </w:r>
      <w:r w:rsidR="004646BD" w:rsidRPr="004646BD">
        <w:rPr>
          <w:sz w:val="24"/>
        </w:rPr>
        <w:t>Farum Arena</w:t>
      </w:r>
      <w:r w:rsidR="004646BD">
        <w:rPr>
          <w:sz w:val="24"/>
        </w:rPr>
        <w:t>,</w:t>
      </w:r>
      <w:r w:rsidR="004646BD" w:rsidRPr="004646BD">
        <w:rPr>
          <w:sz w:val="24"/>
        </w:rPr>
        <w:t xml:space="preserve"> Søndersøskolen</w:t>
      </w:r>
      <w:r w:rsidR="004646BD">
        <w:rPr>
          <w:sz w:val="24"/>
        </w:rPr>
        <w:t>,</w:t>
      </w:r>
      <w:r w:rsidR="004646BD" w:rsidRPr="004646BD">
        <w:rPr>
          <w:sz w:val="24"/>
        </w:rPr>
        <w:t xml:space="preserve"> Furesøbad</w:t>
      </w:r>
      <w:r w:rsidR="004646BD">
        <w:rPr>
          <w:sz w:val="24"/>
        </w:rPr>
        <w:t xml:space="preserve">, </w:t>
      </w:r>
      <w:r w:rsidR="004646BD" w:rsidRPr="004646BD">
        <w:rPr>
          <w:sz w:val="24"/>
        </w:rPr>
        <w:t>Søndersøhallen</w:t>
      </w:r>
      <w:r w:rsidR="004646BD">
        <w:rPr>
          <w:sz w:val="24"/>
        </w:rPr>
        <w:t xml:space="preserve"> og </w:t>
      </w:r>
      <w:r w:rsidR="004646BD" w:rsidRPr="004646BD">
        <w:rPr>
          <w:sz w:val="24"/>
        </w:rPr>
        <w:t>Driftsgården</w:t>
      </w:r>
      <w:r w:rsidR="00544207">
        <w:rPr>
          <w:sz w:val="24"/>
        </w:rPr>
        <w:t>.</w:t>
      </w:r>
      <w:r w:rsidRPr="005C5536">
        <w:t xml:space="preserve"> </w:t>
      </w:r>
    </w:p>
    <w:p w:rsidR="00F65D6E" w:rsidRDefault="00F65D6E" w:rsidP="004B4613"/>
    <w:p w:rsidR="00F65D6E" w:rsidRDefault="00544207" w:rsidP="004B4613">
      <w:r>
        <w:t xml:space="preserve">I </w:t>
      </w:r>
      <w:r w:rsidR="00FE53B7">
        <w:t>Grønt Regnskab 2013</w:t>
      </w:r>
      <w:r w:rsidR="00E11EF4">
        <w:t xml:space="preserve"> </w:t>
      </w:r>
      <w:r w:rsidR="00F65D6E">
        <w:t>er den effekt der kan ses overvejende resultatet af de tekniske forbedringer,</w:t>
      </w:r>
      <w:r>
        <w:t xml:space="preserve"> der blev gennemført i 2012</w:t>
      </w:r>
      <w:r w:rsidR="001732DC">
        <w:t xml:space="preserve">, hvor </w:t>
      </w:r>
      <w:r w:rsidR="00E11EF4">
        <w:t xml:space="preserve">syv ejendomme blev </w:t>
      </w:r>
      <w:r w:rsidRPr="005C5536">
        <w:t>energirenover</w:t>
      </w:r>
      <w:r w:rsidR="00E11EF4">
        <w:t>et,</w:t>
      </w:r>
      <w:r w:rsidRPr="005C5536">
        <w:t xml:space="preserve"> </w:t>
      </w:r>
      <w:r w:rsidR="00E11EF4">
        <w:t xml:space="preserve">og blandt andet fik </w:t>
      </w:r>
      <w:r w:rsidR="00EA0798">
        <w:t xml:space="preserve">ny </w:t>
      </w:r>
      <w:r w:rsidRPr="005C5536">
        <w:t xml:space="preserve">styring </w:t>
      </w:r>
      <w:r w:rsidR="00EA0798">
        <w:t xml:space="preserve">af </w:t>
      </w:r>
      <w:r>
        <w:t xml:space="preserve">varme og eller </w:t>
      </w:r>
      <w:r w:rsidR="00C66AE6">
        <w:t>ventilation</w:t>
      </w:r>
      <w:r>
        <w:t xml:space="preserve">. </w:t>
      </w:r>
    </w:p>
    <w:p w:rsidR="00F65D6E" w:rsidRDefault="00F65D6E" w:rsidP="004B4613"/>
    <w:p w:rsidR="004646BD" w:rsidRPr="004B4613" w:rsidRDefault="003F7EE5" w:rsidP="004B4613">
      <w:pPr>
        <w:rPr>
          <w:szCs w:val="22"/>
        </w:rPr>
      </w:pPr>
      <w:r>
        <w:t>I kategorien andre</w:t>
      </w:r>
      <w:r w:rsidR="00F65D6E">
        <w:t xml:space="preserve"> </w:t>
      </w:r>
      <w:r>
        <w:t xml:space="preserve">ejendomme er </w:t>
      </w:r>
      <w:r w:rsidR="00D01804">
        <w:t>f</w:t>
      </w:r>
      <w:r>
        <w:t>orbrug</w:t>
      </w:r>
      <w:r w:rsidR="00D01804">
        <w:t>et steget</w:t>
      </w:r>
      <w:r>
        <w:t xml:space="preserve"> fordi den tidligere skole ”</w:t>
      </w:r>
      <w:r w:rsidR="00C66AE6">
        <w:t>B</w:t>
      </w:r>
      <w:r w:rsidR="00C66AE6">
        <w:t>y</w:t>
      </w:r>
      <w:r w:rsidR="00C66AE6">
        <w:t>bækskolen</w:t>
      </w:r>
      <w:r>
        <w:t>” har været lukket</w:t>
      </w:r>
      <w:r w:rsidR="00D01804">
        <w:t xml:space="preserve">. </w:t>
      </w:r>
      <w:r w:rsidR="00C66AE6">
        <w:t>Bybækskolen</w:t>
      </w:r>
      <w:r w:rsidR="00D01804">
        <w:t xml:space="preserve"> </w:t>
      </w:r>
      <w:r>
        <w:t xml:space="preserve">er taget i brug </w:t>
      </w:r>
      <w:r w:rsidR="00F65D6E">
        <w:t>igen</w:t>
      </w:r>
      <w:r w:rsidR="00466450">
        <w:t>,</w:t>
      </w:r>
      <w:r w:rsidR="00F65D6E">
        <w:t xml:space="preserve"> </w:t>
      </w:r>
      <w:r>
        <w:t>og da der nu er aktivitet på skolen</w:t>
      </w:r>
      <w:r w:rsidR="00466450">
        <w:t>,</w:t>
      </w:r>
      <w:r>
        <w:t xml:space="preserve"> bruges der også flere ressourcer.</w:t>
      </w:r>
    </w:p>
    <w:p w:rsidR="005C5536" w:rsidRPr="005C5536" w:rsidRDefault="005C5536" w:rsidP="005C5536">
      <w:pPr>
        <w:rPr>
          <w:szCs w:val="22"/>
        </w:rPr>
      </w:pPr>
    </w:p>
    <w:p w:rsidR="005C5536" w:rsidRDefault="004428F7" w:rsidP="005C5536">
      <w:r>
        <w:t xml:space="preserve">De </w:t>
      </w:r>
      <w:r w:rsidR="005C5536" w:rsidRPr="005C5536">
        <w:t>tekniske medarbejdere</w:t>
      </w:r>
      <w:r>
        <w:t xml:space="preserve"> efteruddannes i et rullende forlø</w:t>
      </w:r>
      <w:r w:rsidR="003F7EE5">
        <w:t>b</w:t>
      </w:r>
      <w:r w:rsidR="005C5536" w:rsidRPr="005C5536">
        <w:t xml:space="preserve">. </w:t>
      </w:r>
      <w:r w:rsidR="003F7EE5">
        <w:t xml:space="preserve">Efteruddannelsen </w:t>
      </w:r>
      <w:r>
        <w:t>give</w:t>
      </w:r>
      <w:r w:rsidR="003F7EE5">
        <w:t>r</w:t>
      </w:r>
      <w:r>
        <w:t xml:space="preserve"> </w:t>
      </w:r>
      <w:r w:rsidR="005C5536" w:rsidRPr="005C5536">
        <w:t>de tekniske medarbejdere viden om de tekniske anlæg i kommunens by</w:t>
      </w:r>
      <w:r w:rsidR="005C5536" w:rsidRPr="005C5536">
        <w:t>g</w:t>
      </w:r>
      <w:r w:rsidR="005C5536" w:rsidRPr="005C5536">
        <w:t>ninger. I 201</w:t>
      </w:r>
      <w:r w:rsidR="004646BD">
        <w:t>3</w:t>
      </w:r>
      <w:r w:rsidR="005C5536" w:rsidRPr="005C5536">
        <w:t xml:space="preserve"> </w:t>
      </w:r>
      <w:r w:rsidR="00F65D6E">
        <w:t xml:space="preserve">har tre tekniske medarbejdere </w:t>
      </w:r>
      <w:r w:rsidR="00F65D6E" w:rsidRPr="005C5536">
        <w:t>afsluttet</w:t>
      </w:r>
      <w:r w:rsidR="00F65D6E">
        <w:t xml:space="preserve"> uddannelsen og</w:t>
      </w:r>
      <w:r w:rsidR="005C5536" w:rsidRPr="005C5536">
        <w:t xml:space="preserve"> </w:t>
      </w:r>
      <w:r w:rsidR="00EB7C19">
        <w:t>fem</w:t>
      </w:r>
      <w:r w:rsidR="00F65D6E">
        <w:t xml:space="preserve"> tekn</w:t>
      </w:r>
      <w:r w:rsidR="00F65D6E">
        <w:t>i</w:t>
      </w:r>
      <w:r w:rsidR="00F65D6E">
        <w:t>ske medarbejdere har påbegyndt den</w:t>
      </w:r>
      <w:r w:rsidR="005C5536" w:rsidRPr="005C5536">
        <w:t xml:space="preserve">. </w:t>
      </w:r>
    </w:p>
    <w:p w:rsidR="004428F7" w:rsidRPr="005C5536" w:rsidRDefault="004428F7" w:rsidP="005C5536"/>
    <w:p w:rsidR="005C5536" w:rsidRPr="005C5536" w:rsidRDefault="005C5536" w:rsidP="005C5536">
      <w:pPr>
        <w:rPr>
          <w:b/>
        </w:rPr>
      </w:pPr>
      <w:r w:rsidRPr="005C5536">
        <w:rPr>
          <w:b/>
        </w:rPr>
        <w:t xml:space="preserve">Varmeforbruget i kommunens bygninger </w:t>
      </w:r>
    </w:p>
    <w:p w:rsidR="00176FCF" w:rsidRDefault="00176FCF" w:rsidP="005C5536">
      <w:r>
        <w:t>Grønt Regnskab 2014 viser</w:t>
      </w:r>
      <w:r w:rsidR="005C4479">
        <w:t>,</w:t>
      </w:r>
      <w:r>
        <w:t xml:space="preserve"> at varmeforbruget er faldet </w:t>
      </w:r>
      <w:r w:rsidRPr="005C5536">
        <w:t>fra 22.3</w:t>
      </w:r>
      <w:r>
        <w:t>80</w:t>
      </w:r>
      <w:r w:rsidRPr="005C5536">
        <w:t xml:space="preserve"> MWh </w:t>
      </w:r>
      <w:r>
        <w:t xml:space="preserve">i 2012 </w:t>
      </w:r>
      <w:r w:rsidRPr="005C5536">
        <w:t>til 21.</w:t>
      </w:r>
      <w:r>
        <w:t>022</w:t>
      </w:r>
      <w:r w:rsidRPr="005C5536">
        <w:t xml:space="preserve"> MWh</w:t>
      </w:r>
      <w:r>
        <w:t xml:space="preserve"> i 2013. Det </w:t>
      </w:r>
      <w:r w:rsidRPr="005C5536">
        <w:t>graddag korrigere</w:t>
      </w:r>
      <w:r>
        <w:t>de v</w:t>
      </w:r>
      <w:r w:rsidR="005C5536" w:rsidRPr="005C5536">
        <w:t xml:space="preserve">armeforbrug i kommunens bygninger </w:t>
      </w:r>
      <w:r>
        <w:t xml:space="preserve">er reduceret med </w:t>
      </w:r>
      <w:r w:rsidR="00A668B6">
        <w:t>6</w:t>
      </w:r>
      <w:r w:rsidR="005C5536" w:rsidRPr="005C5536">
        <w:t xml:space="preserve"> % fra 201</w:t>
      </w:r>
      <w:r w:rsidR="00A668B6">
        <w:t>2 til 2013</w:t>
      </w:r>
      <w:r>
        <w:t xml:space="preserve">. </w:t>
      </w:r>
    </w:p>
    <w:p w:rsidR="00176FCF" w:rsidRDefault="00176FCF" w:rsidP="005C5536"/>
    <w:p w:rsidR="005C5536" w:rsidRPr="005C5536" w:rsidRDefault="002B16ED" w:rsidP="005C5536">
      <w:r>
        <w:t xml:space="preserve">Varmeforbruget er reduceret mest på </w:t>
      </w:r>
      <w:r w:rsidR="003F7EE5">
        <w:t>ældre</w:t>
      </w:r>
      <w:r>
        <w:t xml:space="preserve">- </w:t>
      </w:r>
      <w:r w:rsidR="003F7EE5">
        <w:t>og pleje</w:t>
      </w:r>
      <w:r>
        <w:t>området, hvor reduktionen er på</w:t>
      </w:r>
      <w:r w:rsidR="005C5536" w:rsidRPr="005C5536">
        <w:t xml:space="preserve"> </w:t>
      </w:r>
      <w:r w:rsidR="000827EC">
        <w:t>14 %</w:t>
      </w:r>
      <w:r>
        <w:t>. I</w:t>
      </w:r>
      <w:r w:rsidR="000827EC">
        <w:t xml:space="preserve"> </w:t>
      </w:r>
      <w:r w:rsidR="00777202">
        <w:t>daginstitutionerne</w:t>
      </w:r>
      <w:r w:rsidR="00C66AE6">
        <w:t xml:space="preserve"> er</w:t>
      </w:r>
      <w:r w:rsidR="000827EC">
        <w:t xml:space="preserve"> reduktionen på </w:t>
      </w:r>
      <w:r w:rsidR="005C5536" w:rsidRPr="005C5536">
        <w:t xml:space="preserve">6 % </w:t>
      </w:r>
      <w:r>
        <w:t>og på skolerne er varm</w:t>
      </w:r>
      <w:r>
        <w:t>e</w:t>
      </w:r>
      <w:r>
        <w:t xml:space="preserve">forbruget reduceret med </w:t>
      </w:r>
      <w:r w:rsidR="000827EC">
        <w:t>5,6</w:t>
      </w:r>
      <w:r w:rsidR="005C5536" w:rsidRPr="005C5536">
        <w:t xml:space="preserve"> %. På de øvrige områder er varmefor</w:t>
      </w:r>
      <w:r>
        <w:t>bruget</w:t>
      </w:r>
      <w:r w:rsidR="000827EC">
        <w:t xml:space="preserve"> fal</w:t>
      </w:r>
      <w:r>
        <w:t>det</w:t>
      </w:r>
      <w:r w:rsidR="00466450">
        <w:t xml:space="preserve"> mellem 0,5 og 5,5 %. K</w:t>
      </w:r>
      <w:r w:rsidR="000827EC">
        <w:t>un i spejderhytterne er forbruget steget med 8 MWh</w:t>
      </w:r>
      <w:r w:rsidR="00466450">
        <w:t>, hvilket skyldes større aktivitet</w:t>
      </w:r>
      <w:r w:rsidR="005C5536" w:rsidRPr="005C5536">
        <w:t>. Herunder ses det klimakorrigerede varmeforbrug opgjort i MWh.</w:t>
      </w:r>
    </w:p>
    <w:p w:rsidR="005C5536" w:rsidRDefault="005C5536" w:rsidP="005C5536"/>
    <w:tbl>
      <w:tblPr>
        <w:tblW w:w="62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1772"/>
        <w:gridCol w:w="988"/>
        <w:gridCol w:w="988"/>
        <w:gridCol w:w="989"/>
      </w:tblGrid>
      <w:tr w:rsidR="00D17137" w:rsidRPr="00D17137" w:rsidTr="00A668B6">
        <w:trPr>
          <w:trHeight w:val="26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1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Varmeforbrug graddage </w:t>
            </w:r>
            <w:r w:rsidR="00C66AE6" w:rsidRPr="00D17137">
              <w:rPr>
                <w:rFonts w:ascii="Arial" w:hAnsi="Arial" w:cs="Arial"/>
                <w:b/>
                <w:bCs/>
                <w:sz w:val="20"/>
                <w:szCs w:val="20"/>
              </w:rPr>
              <w:t>korr</w:t>
            </w:r>
            <w:r w:rsidR="00C66AE6" w:rsidRPr="00D1713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C66AE6" w:rsidRPr="00D17137">
              <w:rPr>
                <w:rFonts w:ascii="Arial" w:hAnsi="Arial" w:cs="Arial"/>
                <w:b/>
                <w:bCs/>
                <w:sz w:val="20"/>
                <w:szCs w:val="20"/>
              </w:rPr>
              <w:t>geret</w:t>
            </w: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137">
              <w:rPr>
                <w:rFonts w:ascii="Arial" w:hAnsi="Arial" w:cs="Arial"/>
                <w:b/>
                <w:bCs/>
                <w:sz w:val="20"/>
                <w:szCs w:val="20"/>
              </w:rPr>
              <w:t>Varmeforbrug MWh</w:t>
            </w:r>
          </w:p>
        </w:tc>
      </w:tr>
      <w:tr w:rsidR="00D17137" w:rsidRPr="00D17137" w:rsidTr="00A668B6">
        <w:trPr>
          <w:trHeight w:val="26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137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137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137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137">
              <w:rPr>
                <w:rFonts w:ascii="Arial" w:hAnsi="Arial" w:cs="Arial"/>
                <w:b/>
                <w:sz w:val="20"/>
                <w:szCs w:val="20"/>
              </w:rPr>
              <w:t>2.013</w:t>
            </w:r>
          </w:p>
        </w:tc>
      </w:tr>
      <w:tr w:rsidR="00D17137" w:rsidRPr="00D17137" w:rsidTr="00A668B6">
        <w:trPr>
          <w:trHeight w:val="26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</w:tr>
      <w:tr w:rsidR="00D17137" w:rsidRPr="00D17137" w:rsidTr="00A668B6">
        <w:trPr>
          <w:trHeight w:val="26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Andre eje</w:t>
            </w:r>
            <w:r w:rsidRPr="00D17137">
              <w:rPr>
                <w:rFonts w:ascii="Arial" w:hAnsi="Arial" w:cs="Arial"/>
                <w:sz w:val="20"/>
                <w:szCs w:val="20"/>
              </w:rPr>
              <w:t>n</w:t>
            </w:r>
            <w:r w:rsidRPr="00D17137">
              <w:rPr>
                <w:rFonts w:ascii="Arial" w:hAnsi="Arial" w:cs="Arial"/>
                <w:sz w:val="20"/>
                <w:szCs w:val="20"/>
              </w:rPr>
              <w:t>domme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1.115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</w:tr>
      <w:tr w:rsidR="00D17137" w:rsidRPr="00D17137" w:rsidTr="00A668B6">
        <w:trPr>
          <w:trHeight w:val="26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Daginstitutioner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3.064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3.102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2.959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2.708</w:t>
            </w:r>
          </w:p>
        </w:tc>
      </w:tr>
      <w:tr w:rsidR="00D17137" w:rsidRPr="00D17137" w:rsidTr="00A668B6">
        <w:trPr>
          <w:trHeight w:val="26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Forsamlingshuse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</w:tr>
      <w:tr w:rsidR="00D17137" w:rsidRPr="00D17137" w:rsidTr="00A668B6">
        <w:trPr>
          <w:trHeight w:val="26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Idræt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2.275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2.149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2.028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1.921</w:t>
            </w:r>
          </w:p>
        </w:tc>
      </w:tr>
      <w:tr w:rsidR="00D17137" w:rsidRPr="00D17137" w:rsidTr="00A668B6">
        <w:trPr>
          <w:trHeight w:val="26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Kultur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1.753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1.771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1.723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1.647</w:t>
            </w:r>
          </w:p>
        </w:tc>
      </w:tr>
      <w:tr w:rsidR="00D17137" w:rsidRPr="00D17137" w:rsidTr="00A668B6">
        <w:trPr>
          <w:trHeight w:val="26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3F7EE5" w:rsidP="003F7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Ældre og p</w:t>
            </w:r>
            <w:r w:rsidR="00D17137" w:rsidRPr="00D17137">
              <w:rPr>
                <w:rFonts w:ascii="Arial" w:hAnsi="Arial" w:cs="Arial"/>
                <w:sz w:val="20"/>
                <w:szCs w:val="20"/>
              </w:rPr>
              <w:t>leje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2.254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2.297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2.246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1.924</w:t>
            </w:r>
          </w:p>
        </w:tc>
      </w:tr>
      <w:tr w:rsidR="00D17137" w:rsidRPr="00D17137" w:rsidTr="00A668B6">
        <w:trPr>
          <w:trHeight w:val="26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Skoler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9.931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9.270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8.475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</w:tr>
      <w:tr w:rsidR="00D17137" w:rsidRPr="00D17137" w:rsidTr="00A668B6">
        <w:trPr>
          <w:trHeight w:val="26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Spejderhytter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D17137" w:rsidRPr="00D17137" w:rsidTr="00A668B6">
        <w:trPr>
          <w:trHeight w:val="26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Svømmehaller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2.794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2.824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3.001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7137">
              <w:rPr>
                <w:rFonts w:ascii="Arial" w:hAnsi="Arial" w:cs="Arial"/>
                <w:sz w:val="20"/>
                <w:szCs w:val="20"/>
              </w:rPr>
              <w:t>2.917</w:t>
            </w:r>
          </w:p>
        </w:tc>
      </w:tr>
      <w:tr w:rsidR="00D17137" w:rsidRPr="00D17137" w:rsidTr="00A668B6">
        <w:trPr>
          <w:trHeight w:val="26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137">
              <w:rPr>
                <w:rFonts w:ascii="Arial" w:hAnsi="Arial" w:cs="Arial"/>
                <w:b/>
                <w:bCs/>
                <w:sz w:val="20"/>
                <w:szCs w:val="20"/>
              </w:rPr>
              <w:t>I alt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137">
              <w:rPr>
                <w:rFonts w:ascii="Arial" w:hAnsi="Arial" w:cs="Arial"/>
                <w:b/>
                <w:bCs/>
                <w:sz w:val="20"/>
                <w:szCs w:val="20"/>
              </w:rPr>
              <w:t>24.247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137">
              <w:rPr>
                <w:rFonts w:ascii="Arial" w:hAnsi="Arial" w:cs="Arial"/>
                <w:b/>
                <w:bCs/>
                <w:sz w:val="20"/>
                <w:szCs w:val="20"/>
              </w:rPr>
              <w:t>23.255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137">
              <w:rPr>
                <w:rFonts w:ascii="Arial" w:hAnsi="Arial" w:cs="Arial"/>
                <w:b/>
                <w:bCs/>
                <w:sz w:val="20"/>
                <w:szCs w:val="20"/>
              </w:rPr>
              <w:t>22.380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37" w:rsidRPr="00D17137" w:rsidRDefault="00D17137" w:rsidP="00D1713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137">
              <w:rPr>
                <w:rFonts w:ascii="Arial" w:hAnsi="Arial" w:cs="Arial"/>
                <w:b/>
                <w:bCs/>
                <w:sz w:val="20"/>
                <w:szCs w:val="20"/>
              </w:rPr>
              <w:t>21.022</w:t>
            </w:r>
          </w:p>
        </w:tc>
      </w:tr>
    </w:tbl>
    <w:p w:rsidR="00B87A88" w:rsidRDefault="00B87A88" w:rsidP="005C5536">
      <w:r w:rsidRPr="005C5536">
        <w:lastRenderedPageBreak/>
        <w:t xml:space="preserve">Ambassadørernes indsats </w:t>
      </w:r>
      <w:r>
        <w:t xml:space="preserve">for klimarigtig adfærd </w:t>
      </w:r>
      <w:r w:rsidR="004428F7">
        <w:t>dokumenteres</w:t>
      </w:r>
      <w:r w:rsidRPr="005C5536">
        <w:t xml:space="preserve"> tydeligst i de</w:t>
      </w:r>
      <w:r>
        <w:t xml:space="preserve"> bygninger</w:t>
      </w:r>
      <w:r w:rsidRPr="005C5536">
        <w:t>, hvor der ikke er lavet tekniske forbedringer</w:t>
      </w:r>
      <w:r>
        <w:t>. I disse bygninger er</w:t>
      </w:r>
      <w:r w:rsidRPr="005C5536">
        <w:t xml:space="preserve">, </w:t>
      </w:r>
      <w:r>
        <w:t>varmeforbruget</w:t>
      </w:r>
      <w:r w:rsidRPr="005C5536">
        <w:t xml:space="preserve"> </w:t>
      </w:r>
      <w:r>
        <w:t xml:space="preserve">reduceret med 5,7 %. </w:t>
      </w:r>
    </w:p>
    <w:p w:rsidR="00B87A88" w:rsidRPr="005C5536" w:rsidRDefault="00B87A88" w:rsidP="005C5536"/>
    <w:p w:rsidR="005C5536" w:rsidRPr="005C5536" w:rsidRDefault="005C5536" w:rsidP="005C5536">
      <w:pPr>
        <w:rPr>
          <w:b/>
        </w:rPr>
      </w:pPr>
      <w:r w:rsidRPr="005C5536">
        <w:rPr>
          <w:b/>
        </w:rPr>
        <w:t xml:space="preserve">Vandforbruget i kommunens bygninger </w:t>
      </w:r>
    </w:p>
    <w:p w:rsidR="005C5536" w:rsidRPr="005C5536" w:rsidRDefault="005C5536" w:rsidP="005C5536">
      <w:r w:rsidRPr="005C5536">
        <w:t xml:space="preserve">Vandforbruget i kommunens bygninger er </w:t>
      </w:r>
      <w:r w:rsidR="000827EC">
        <w:t xml:space="preserve">faldet med </w:t>
      </w:r>
      <w:r w:rsidRPr="005C5536">
        <w:t>6 % i perioden 201</w:t>
      </w:r>
      <w:r w:rsidR="000827EC">
        <w:t>2</w:t>
      </w:r>
      <w:r w:rsidRPr="005C5536">
        <w:t xml:space="preserve"> </w:t>
      </w:r>
    </w:p>
    <w:p w:rsidR="005C5536" w:rsidRPr="005C5536" w:rsidRDefault="005C5536" w:rsidP="005C5536">
      <w:r w:rsidRPr="005C5536">
        <w:t>til 201</w:t>
      </w:r>
      <w:r w:rsidR="000827EC">
        <w:t>3</w:t>
      </w:r>
      <w:r w:rsidRPr="005C5536">
        <w:t xml:space="preserve"> fra </w:t>
      </w:r>
      <w:r w:rsidR="000827EC">
        <w:t>80.570</w:t>
      </w:r>
      <w:r w:rsidRPr="005C5536">
        <w:t xml:space="preserve"> m</w:t>
      </w:r>
      <w:r w:rsidRPr="003F7EE5">
        <w:rPr>
          <w:vertAlign w:val="superscript"/>
        </w:rPr>
        <w:t>3</w:t>
      </w:r>
      <w:r w:rsidRPr="005C5536">
        <w:t xml:space="preserve"> til </w:t>
      </w:r>
      <w:r w:rsidR="000827EC">
        <w:t>75</w:t>
      </w:r>
      <w:r w:rsidRPr="005C5536">
        <w:t>.</w:t>
      </w:r>
      <w:r w:rsidR="000827EC">
        <w:t>600</w:t>
      </w:r>
      <w:r w:rsidRPr="005C5536">
        <w:t xml:space="preserve"> m</w:t>
      </w:r>
      <w:r w:rsidRPr="003F7EE5">
        <w:rPr>
          <w:vertAlign w:val="superscript"/>
        </w:rPr>
        <w:t>3</w:t>
      </w:r>
      <w:r w:rsidRPr="005C5536">
        <w:t xml:space="preserve">. </w:t>
      </w:r>
      <w:r w:rsidR="00466450">
        <w:t>Fra 2008-2013 er vandforbruget reduceret med ca. 2800 m</w:t>
      </w:r>
      <w:r w:rsidR="00466450" w:rsidRPr="00466450">
        <w:rPr>
          <w:vertAlign w:val="subscript"/>
        </w:rPr>
        <w:t>3</w:t>
      </w:r>
      <w:r w:rsidR="00466450">
        <w:t>, hvilket er en reduktion på knap 4 %.</w:t>
      </w:r>
    </w:p>
    <w:p w:rsidR="005C5536" w:rsidRPr="005C5536" w:rsidRDefault="005C5536" w:rsidP="005C5536"/>
    <w:tbl>
      <w:tblPr>
        <w:tblW w:w="64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1029"/>
        <w:gridCol w:w="1029"/>
        <w:gridCol w:w="1029"/>
        <w:gridCol w:w="1029"/>
      </w:tblGrid>
      <w:tr w:rsidR="000827EC" w:rsidRPr="000827EC" w:rsidTr="000827EC">
        <w:trPr>
          <w:trHeight w:val="25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7EC">
              <w:rPr>
                <w:rFonts w:ascii="Arial" w:hAnsi="Arial" w:cs="Arial"/>
                <w:b/>
                <w:bCs/>
                <w:sz w:val="20"/>
                <w:szCs w:val="20"/>
              </w:rPr>
              <w:t>Vandforbrug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7EC">
              <w:rPr>
                <w:rFonts w:ascii="Arial" w:hAnsi="Arial" w:cs="Arial"/>
                <w:b/>
                <w:bCs/>
                <w:sz w:val="20"/>
                <w:szCs w:val="20"/>
              </w:rPr>
              <w:t>Vandforbrug m</w:t>
            </w:r>
            <w:r w:rsidRPr="003F7EE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0827EC" w:rsidRPr="000827EC" w:rsidTr="000827EC">
        <w:trPr>
          <w:trHeight w:val="2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827EC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827EC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827EC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827EC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0827EC" w:rsidRPr="000827EC" w:rsidTr="000827EC">
        <w:trPr>
          <w:trHeight w:val="2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3.002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2.587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2.603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2.294</w:t>
            </w:r>
          </w:p>
        </w:tc>
      </w:tr>
      <w:tr w:rsidR="000827EC" w:rsidRPr="000827EC" w:rsidTr="000827EC">
        <w:trPr>
          <w:trHeight w:val="2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Andre ejendomme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2.250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2.064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2.295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2.662</w:t>
            </w:r>
          </w:p>
        </w:tc>
      </w:tr>
      <w:tr w:rsidR="000827EC" w:rsidRPr="000827EC" w:rsidTr="000827EC">
        <w:trPr>
          <w:trHeight w:val="2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Daginstitutioner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14.977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14.994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15.610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14.963</w:t>
            </w:r>
          </w:p>
        </w:tc>
      </w:tr>
      <w:tr w:rsidR="000827EC" w:rsidRPr="000827EC" w:rsidTr="000827EC">
        <w:trPr>
          <w:trHeight w:val="2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Forsamlingshuse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</w:tr>
      <w:tr w:rsidR="000827EC" w:rsidRPr="000827EC" w:rsidTr="000827EC">
        <w:trPr>
          <w:trHeight w:val="2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Idræt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9.619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8.629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8.043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7.364</w:t>
            </w:r>
          </w:p>
        </w:tc>
      </w:tr>
      <w:tr w:rsidR="000827EC" w:rsidRPr="000827EC" w:rsidTr="000827EC">
        <w:trPr>
          <w:trHeight w:val="2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Kultur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2.180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2.143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2.137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2.178</w:t>
            </w:r>
          </w:p>
        </w:tc>
      </w:tr>
      <w:tr w:rsidR="000827EC" w:rsidRPr="000827EC" w:rsidTr="000827EC">
        <w:trPr>
          <w:trHeight w:val="2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Pleje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8.047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9.114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9.001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8.455</w:t>
            </w:r>
          </w:p>
        </w:tc>
      </w:tr>
      <w:tr w:rsidR="000827EC" w:rsidRPr="000827EC" w:rsidTr="000827EC">
        <w:trPr>
          <w:trHeight w:val="2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Skoler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13.918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13.037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13.721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12.220</w:t>
            </w:r>
          </w:p>
        </w:tc>
      </w:tr>
      <w:tr w:rsidR="000827EC" w:rsidRPr="000827EC" w:rsidTr="000827EC">
        <w:trPr>
          <w:trHeight w:val="2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Spejderhytter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0827EC" w:rsidRPr="000827EC" w:rsidTr="000827EC">
        <w:trPr>
          <w:trHeight w:val="2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Svømmehaller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23.797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22.843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26.422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7EC">
              <w:rPr>
                <w:rFonts w:ascii="Arial" w:hAnsi="Arial" w:cs="Arial"/>
                <w:sz w:val="20"/>
                <w:szCs w:val="20"/>
              </w:rPr>
              <w:t>25.004</w:t>
            </w:r>
          </w:p>
        </w:tc>
      </w:tr>
      <w:tr w:rsidR="000827EC" w:rsidRPr="000827EC" w:rsidTr="000827EC">
        <w:trPr>
          <w:trHeight w:val="250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7EC">
              <w:rPr>
                <w:rFonts w:ascii="Arial" w:hAnsi="Arial" w:cs="Arial"/>
                <w:b/>
                <w:bCs/>
                <w:sz w:val="20"/>
                <w:szCs w:val="20"/>
              </w:rPr>
              <w:t>I alt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7EC">
              <w:rPr>
                <w:rFonts w:ascii="Arial" w:hAnsi="Arial" w:cs="Arial"/>
                <w:b/>
                <w:bCs/>
                <w:sz w:val="20"/>
                <w:szCs w:val="20"/>
              </w:rPr>
              <w:t>78.493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7EC">
              <w:rPr>
                <w:rFonts w:ascii="Arial" w:hAnsi="Arial" w:cs="Arial"/>
                <w:b/>
                <w:bCs/>
                <w:sz w:val="20"/>
                <w:szCs w:val="20"/>
              </w:rPr>
              <w:t>76.015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7EC">
              <w:rPr>
                <w:rFonts w:ascii="Arial" w:hAnsi="Arial" w:cs="Arial"/>
                <w:b/>
                <w:bCs/>
                <w:sz w:val="20"/>
                <w:szCs w:val="20"/>
              </w:rPr>
              <w:t>80.570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7EC" w:rsidRPr="000827EC" w:rsidRDefault="000827EC" w:rsidP="000827E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7EC">
              <w:rPr>
                <w:rFonts w:ascii="Arial" w:hAnsi="Arial" w:cs="Arial"/>
                <w:b/>
                <w:bCs/>
                <w:sz w:val="20"/>
                <w:szCs w:val="20"/>
              </w:rPr>
              <w:t>75.630</w:t>
            </w:r>
          </w:p>
        </w:tc>
      </w:tr>
    </w:tbl>
    <w:p w:rsidR="005C5536" w:rsidRPr="005C5536" w:rsidRDefault="005C5536" w:rsidP="005C5536"/>
    <w:p w:rsidR="00551C84" w:rsidRDefault="005C5536" w:rsidP="00551C84">
      <w:r w:rsidRPr="005C5536">
        <w:t xml:space="preserve">De store </w:t>
      </w:r>
      <w:r w:rsidR="000827EC">
        <w:t xml:space="preserve">reduktioner </w:t>
      </w:r>
      <w:r w:rsidR="005C4479">
        <w:t xml:space="preserve">i vandforbruget </w:t>
      </w:r>
      <w:r w:rsidRPr="005C5536">
        <w:t xml:space="preserve">findes i </w:t>
      </w:r>
      <w:r w:rsidR="000827EC">
        <w:t>administrationen</w:t>
      </w:r>
      <w:r w:rsidR="00777202">
        <w:t>,</w:t>
      </w:r>
      <w:r w:rsidR="000827EC">
        <w:t xml:space="preserve"> hvor der er sp</w:t>
      </w:r>
      <w:r w:rsidR="000827EC">
        <w:t>a</w:t>
      </w:r>
      <w:r w:rsidR="000827EC">
        <w:t>ret 300 m</w:t>
      </w:r>
      <w:r w:rsidR="004428F7" w:rsidRPr="003F7EE5">
        <w:rPr>
          <w:vertAlign w:val="superscript"/>
        </w:rPr>
        <w:t>3</w:t>
      </w:r>
      <w:r w:rsidR="000827EC">
        <w:t xml:space="preserve"> vand</w:t>
      </w:r>
      <w:r w:rsidR="00777202">
        <w:t>. I</w:t>
      </w:r>
      <w:r w:rsidR="000827EC">
        <w:t xml:space="preserve"> 2011</w:t>
      </w:r>
      <w:r w:rsidR="00466450">
        <w:t xml:space="preserve"> og 2012</w:t>
      </w:r>
      <w:r w:rsidR="000827EC">
        <w:t xml:space="preserve"> var der </w:t>
      </w:r>
      <w:r w:rsidR="00466450">
        <w:t xml:space="preserve">flere gange </w:t>
      </w:r>
      <w:r w:rsidRPr="005C5536">
        <w:t xml:space="preserve">læk i </w:t>
      </w:r>
      <w:r w:rsidR="00466450">
        <w:t>en vandledning til en</w:t>
      </w:r>
      <w:r w:rsidRPr="005C5536">
        <w:t xml:space="preserve"> spejderhytte</w:t>
      </w:r>
      <w:r w:rsidR="00D26035">
        <w:t>,</w:t>
      </w:r>
      <w:r w:rsidRPr="005C5536">
        <w:t xml:space="preserve"> </w:t>
      </w:r>
      <w:r w:rsidR="000827EC">
        <w:t>de</w:t>
      </w:r>
      <w:r w:rsidR="00466450">
        <w:t>tte</w:t>
      </w:r>
      <w:r w:rsidR="000827EC">
        <w:t xml:space="preserve"> var årsag til et stort vandforbrug</w:t>
      </w:r>
      <w:r w:rsidR="00466450">
        <w:t>. I</w:t>
      </w:r>
      <w:r w:rsidR="000827EC">
        <w:t xml:space="preserve"> 2012-</w:t>
      </w:r>
      <w:r w:rsidR="00B81A13">
        <w:t>20</w:t>
      </w:r>
      <w:r w:rsidR="000827EC">
        <w:t>13 er vandforbr</w:t>
      </w:r>
      <w:r w:rsidR="000827EC">
        <w:t>u</w:t>
      </w:r>
      <w:r w:rsidR="000827EC">
        <w:t>get i spejderhytter redu</w:t>
      </w:r>
      <w:r w:rsidR="00D26035">
        <w:t xml:space="preserve">ceret med </w:t>
      </w:r>
      <w:r w:rsidR="00E84152">
        <w:t>85 %</w:t>
      </w:r>
      <w:r w:rsidR="00D26035">
        <w:t xml:space="preserve"> svarende til 300 m</w:t>
      </w:r>
      <w:r w:rsidR="004428F7" w:rsidRPr="003F7EE5">
        <w:rPr>
          <w:vertAlign w:val="superscript"/>
        </w:rPr>
        <w:t>3</w:t>
      </w:r>
      <w:r w:rsidR="00777202">
        <w:t>. Vandforbruget er reduceret fordi</w:t>
      </w:r>
      <w:r w:rsidR="00D26035">
        <w:t xml:space="preserve"> spejderhytternes ressourceforbrug nu kan fjernaflæses og derfor opdages lækager med det samme</w:t>
      </w:r>
      <w:r w:rsidRPr="005C5536">
        <w:t xml:space="preserve">. </w:t>
      </w:r>
      <w:r w:rsidR="00551C84">
        <w:t>På driftsgården er der gennemført et klimati</w:t>
      </w:r>
      <w:r w:rsidR="00551C84">
        <w:t>l</w:t>
      </w:r>
      <w:r w:rsidR="00551C84">
        <w:t>pasningsprojekt i 2013</w:t>
      </w:r>
      <w:r w:rsidR="005D0D72">
        <w:t>, med anlæg af regnvandstanke</w:t>
      </w:r>
      <w:r w:rsidR="00551C84">
        <w:t xml:space="preserve">. </w:t>
      </w:r>
      <w:r w:rsidR="005D0D72">
        <w:t xml:space="preserve">Regnvandet </w:t>
      </w:r>
      <w:r w:rsidR="00551C84">
        <w:t xml:space="preserve">erstatter drikkevand, og bruges til tøjvask, saltning, vanding af træer og toiletskyl. </w:t>
      </w:r>
    </w:p>
    <w:p w:rsidR="005C4479" w:rsidRDefault="005C4479" w:rsidP="00551C84"/>
    <w:p w:rsidR="00551C84" w:rsidRDefault="00D26035" w:rsidP="005C5536">
      <w:r>
        <w:t>I forsamlingshuse og andre ejendomme er forbruget af vand steget, med he</w:t>
      </w:r>
      <w:r>
        <w:t>n</w:t>
      </w:r>
      <w:r w:rsidR="00551C84">
        <w:t xml:space="preserve">holdsvis </w:t>
      </w:r>
      <w:r w:rsidR="00C66AE6">
        <w:t>15 %</w:t>
      </w:r>
      <w:r w:rsidR="00551C84">
        <w:t xml:space="preserve"> og 16 %.</w:t>
      </w:r>
      <w:r>
        <w:t xml:space="preserve"> </w:t>
      </w:r>
      <w:r w:rsidR="00551C84">
        <w:t xml:space="preserve">Merforbruget i andre ejendomme skyldes at </w:t>
      </w:r>
      <w:r w:rsidR="00C66AE6">
        <w:t>Bybæksk</w:t>
      </w:r>
      <w:r w:rsidR="00C66AE6">
        <w:t>o</w:t>
      </w:r>
      <w:r w:rsidR="00C66AE6">
        <w:t>len</w:t>
      </w:r>
      <w:r w:rsidR="00551C84">
        <w:t>, er taget i drift igen. Merforbruget i forsamlingshusene findes i Jonstruphus, Annexgården og Ellegården</w:t>
      </w:r>
      <w:r w:rsidR="00466450">
        <w:t xml:space="preserve">, hvilket </w:t>
      </w:r>
      <w:r w:rsidR="00551C84">
        <w:t xml:space="preserve">. </w:t>
      </w:r>
    </w:p>
    <w:p w:rsidR="005C4479" w:rsidRDefault="005C4479" w:rsidP="005C5536"/>
    <w:p w:rsidR="005C5536" w:rsidRDefault="00B87A88" w:rsidP="005C5536">
      <w:r w:rsidRPr="00B87A88">
        <w:t xml:space="preserve">Ambassadørernes indsats </w:t>
      </w:r>
      <w:r>
        <w:t xml:space="preserve">for at reducere vandforbruget </w:t>
      </w:r>
      <w:r w:rsidR="004428F7">
        <w:t>dokumenteres</w:t>
      </w:r>
      <w:r w:rsidRPr="00B87A88">
        <w:t xml:space="preserve"> tydeligst i de bygninger, hvor der ikke er la</w:t>
      </w:r>
      <w:r>
        <w:t xml:space="preserve">vet tekniske forbedringer. I disse bygninger har ambassadørerne </w:t>
      </w:r>
      <w:r w:rsidRPr="00B87A88">
        <w:t>redu</w:t>
      </w:r>
      <w:r>
        <w:t xml:space="preserve">ceret vandforbruget med </w:t>
      </w:r>
      <w:r w:rsidRPr="00B87A88">
        <w:t xml:space="preserve">gennemsnitligt </w:t>
      </w:r>
      <w:r>
        <w:t>4,2 %.</w:t>
      </w:r>
    </w:p>
    <w:p w:rsidR="00B81A13" w:rsidRDefault="00B81A13" w:rsidP="005C5536">
      <w:pPr>
        <w:rPr>
          <w:b/>
        </w:rPr>
      </w:pPr>
    </w:p>
    <w:p w:rsidR="005C5536" w:rsidRPr="004A7075" w:rsidRDefault="005C5536" w:rsidP="005C5536">
      <w:pPr>
        <w:rPr>
          <w:b/>
        </w:rPr>
      </w:pPr>
      <w:r w:rsidRPr="004A7075">
        <w:rPr>
          <w:b/>
        </w:rPr>
        <w:t xml:space="preserve">Den kommunale transport </w:t>
      </w:r>
    </w:p>
    <w:p w:rsidR="00B81A13" w:rsidRDefault="005C5536" w:rsidP="00B81A13">
      <w:r w:rsidRPr="004A7075">
        <w:t>Transporten i Furesø Kommu</w:t>
      </w:r>
      <w:r w:rsidR="004A7075">
        <w:t xml:space="preserve">nes virksomhed </w:t>
      </w:r>
      <w:r w:rsidR="005C4479">
        <w:t>udledte 400 ton CO</w:t>
      </w:r>
      <w:r w:rsidR="005C4479" w:rsidRPr="00777202">
        <w:rPr>
          <w:vertAlign w:val="subscript"/>
        </w:rPr>
        <w:t>2</w:t>
      </w:r>
      <w:r w:rsidR="005C4479">
        <w:rPr>
          <w:vertAlign w:val="subscript"/>
        </w:rPr>
        <w:t xml:space="preserve"> </w:t>
      </w:r>
      <w:r w:rsidR="004A7075">
        <w:t>i 2013</w:t>
      </w:r>
      <w:r w:rsidR="005C4479">
        <w:t xml:space="preserve">, </w:t>
      </w:r>
      <w:r w:rsidR="004A7075">
        <w:t>hvi</w:t>
      </w:r>
      <w:r w:rsidR="004A7075">
        <w:t>l</w:t>
      </w:r>
      <w:r w:rsidR="004A7075">
        <w:t xml:space="preserve">ket er en reduktion på </w:t>
      </w:r>
      <w:r w:rsidRPr="004A7075">
        <w:t>5</w:t>
      </w:r>
      <w:r w:rsidR="004A7075">
        <w:t>0</w:t>
      </w:r>
      <w:r w:rsidRPr="004A7075">
        <w:t xml:space="preserve"> ton sammenlignet med 201</w:t>
      </w:r>
      <w:r w:rsidR="004A7075">
        <w:t>2</w:t>
      </w:r>
      <w:r w:rsidR="00B81A13">
        <w:t xml:space="preserve">. </w:t>
      </w:r>
      <w:r w:rsidR="005C4479">
        <w:t>CO</w:t>
      </w:r>
      <w:r w:rsidR="005C4479" w:rsidRPr="005C4479">
        <w:rPr>
          <w:vertAlign w:val="subscript"/>
        </w:rPr>
        <w:t>2</w:t>
      </w:r>
      <w:r w:rsidR="005C4479">
        <w:t xml:space="preserve"> udledningen fra transportområdet er reduceret med 1</w:t>
      </w:r>
      <w:r w:rsidR="00B81A13">
        <w:t>1 %</w:t>
      </w:r>
      <w:r w:rsidRPr="004A7075">
        <w:t xml:space="preserve">. </w:t>
      </w:r>
    </w:p>
    <w:p w:rsidR="00B81A13" w:rsidRDefault="00B81A13" w:rsidP="00B81A13"/>
    <w:p w:rsidR="00B81A13" w:rsidRDefault="00B81A13" w:rsidP="00B81A13">
      <w:r w:rsidRPr="005C5536">
        <w:t>Forbruget af brændstof på driftsgården anvendes til pleje- og vedligeholdelse</w:t>
      </w:r>
      <w:r w:rsidRPr="005C5536">
        <w:t>s</w:t>
      </w:r>
      <w:r w:rsidRPr="005C5536">
        <w:t xml:space="preserve">opgaver, samt fejning og snerydning. Vognparken er løbende moderniseret med maskiner, der ikke er så brændstof forbrugende. </w:t>
      </w:r>
      <w:r w:rsidRPr="00B81A13">
        <w:t>Herunder ses en oversigt over forbrug af brændstof.</w:t>
      </w:r>
    </w:p>
    <w:p w:rsidR="00620B9A" w:rsidRDefault="00620B9A" w:rsidP="00B81A13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968"/>
        <w:gridCol w:w="972"/>
        <w:gridCol w:w="970"/>
        <w:gridCol w:w="970"/>
        <w:gridCol w:w="1066"/>
      </w:tblGrid>
      <w:tr w:rsidR="004A7075" w:rsidRPr="004A7075" w:rsidTr="004A7075">
        <w:trPr>
          <w:trHeight w:val="255"/>
        </w:trPr>
        <w:tc>
          <w:tcPr>
            <w:tcW w:w="2968" w:type="dxa"/>
            <w:noWrap/>
            <w:hideMark/>
          </w:tcPr>
          <w:p w:rsidR="004A7075" w:rsidRPr="00620B9A" w:rsidRDefault="004A7075">
            <w:pPr>
              <w:rPr>
                <w:b/>
                <w:sz w:val="22"/>
              </w:rPr>
            </w:pPr>
            <w:r w:rsidRPr="00620B9A">
              <w:rPr>
                <w:b/>
                <w:sz w:val="22"/>
              </w:rPr>
              <w:t>Transport</w:t>
            </w:r>
          </w:p>
        </w:tc>
        <w:tc>
          <w:tcPr>
            <w:tcW w:w="3978" w:type="dxa"/>
            <w:gridSpan w:val="4"/>
            <w:noWrap/>
            <w:hideMark/>
          </w:tcPr>
          <w:p w:rsidR="004A7075" w:rsidRPr="00620B9A" w:rsidRDefault="004428F7" w:rsidP="004A7075">
            <w:pPr>
              <w:rPr>
                <w:b/>
                <w:sz w:val="22"/>
              </w:rPr>
            </w:pPr>
            <w:r w:rsidRPr="00620B9A">
              <w:rPr>
                <w:b/>
                <w:sz w:val="22"/>
              </w:rPr>
              <w:t>Brændstofforbrug i liter</w:t>
            </w:r>
          </w:p>
        </w:tc>
      </w:tr>
      <w:tr w:rsidR="004A7075" w:rsidRPr="004A7075" w:rsidTr="004A7075">
        <w:trPr>
          <w:trHeight w:val="255"/>
        </w:trPr>
        <w:tc>
          <w:tcPr>
            <w:tcW w:w="2968" w:type="dxa"/>
            <w:noWrap/>
            <w:hideMark/>
          </w:tcPr>
          <w:p w:rsidR="004A7075" w:rsidRPr="00620B9A" w:rsidRDefault="004A7075">
            <w:pPr>
              <w:rPr>
                <w:b/>
                <w:sz w:val="22"/>
              </w:rPr>
            </w:pPr>
            <w:r w:rsidRPr="00620B9A">
              <w:rPr>
                <w:b/>
                <w:sz w:val="22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4A7075" w:rsidRPr="00620B9A" w:rsidRDefault="004A7075" w:rsidP="004A7075">
            <w:pPr>
              <w:rPr>
                <w:sz w:val="22"/>
              </w:rPr>
            </w:pPr>
            <w:r w:rsidRPr="00620B9A">
              <w:rPr>
                <w:sz w:val="22"/>
              </w:rPr>
              <w:t>2008</w:t>
            </w:r>
          </w:p>
        </w:tc>
        <w:tc>
          <w:tcPr>
            <w:tcW w:w="970" w:type="dxa"/>
            <w:noWrap/>
            <w:hideMark/>
          </w:tcPr>
          <w:p w:rsidR="004A7075" w:rsidRPr="00620B9A" w:rsidRDefault="004A7075" w:rsidP="004A7075">
            <w:pPr>
              <w:rPr>
                <w:sz w:val="22"/>
              </w:rPr>
            </w:pPr>
            <w:r w:rsidRPr="00620B9A">
              <w:rPr>
                <w:sz w:val="22"/>
              </w:rPr>
              <w:t>2011</w:t>
            </w:r>
          </w:p>
        </w:tc>
        <w:tc>
          <w:tcPr>
            <w:tcW w:w="970" w:type="dxa"/>
            <w:noWrap/>
            <w:hideMark/>
          </w:tcPr>
          <w:p w:rsidR="004A7075" w:rsidRPr="00620B9A" w:rsidRDefault="004A7075" w:rsidP="004A7075">
            <w:pPr>
              <w:rPr>
                <w:sz w:val="22"/>
              </w:rPr>
            </w:pPr>
            <w:r w:rsidRPr="00620B9A">
              <w:rPr>
                <w:sz w:val="22"/>
              </w:rPr>
              <w:t>2012</w:t>
            </w:r>
          </w:p>
        </w:tc>
        <w:tc>
          <w:tcPr>
            <w:tcW w:w="1066" w:type="dxa"/>
            <w:noWrap/>
            <w:hideMark/>
          </w:tcPr>
          <w:p w:rsidR="004A7075" w:rsidRPr="00620B9A" w:rsidRDefault="004A7075" w:rsidP="004A7075">
            <w:pPr>
              <w:rPr>
                <w:sz w:val="22"/>
              </w:rPr>
            </w:pPr>
            <w:r w:rsidRPr="00620B9A">
              <w:rPr>
                <w:sz w:val="22"/>
              </w:rPr>
              <w:t>2013</w:t>
            </w:r>
          </w:p>
        </w:tc>
      </w:tr>
      <w:tr w:rsidR="004A7075" w:rsidRPr="004A7075" w:rsidTr="004A7075">
        <w:trPr>
          <w:trHeight w:val="255"/>
        </w:trPr>
        <w:tc>
          <w:tcPr>
            <w:tcW w:w="2968" w:type="dxa"/>
            <w:noWrap/>
            <w:hideMark/>
          </w:tcPr>
          <w:p w:rsidR="004A7075" w:rsidRPr="00620B9A" w:rsidRDefault="00620B9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Forbrug </w:t>
            </w:r>
          </w:p>
        </w:tc>
        <w:tc>
          <w:tcPr>
            <w:tcW w:w="972" w:type="dxa"/>
            <w:noWrap/>
            <w:hideMark/>
          </w:tcPr>
          <w:p w:rsidR="004A7075" w:rsidRPr="00620B9A" w:rsidRDefault="004A7075" w:rsidP="004A7075">
            <w:pPr>
              <w:rPr>
                <w:b/>
                <w:sz w:val="22"/>
              </w:rPr>
            </w:pPr>
            <w:r w:rsidRPr="00620B9A">
              <w:rPr>
                <w:b/>
                <w:sz w:val="22"/>
              </w:rPr>
              <w:t>128.191</w:t>
            </w:r>
          </w:p>
        </w:tc>
        <w:tc>
          <w:tcPr>
            <w:tcW w:w="970" w:type="dxa"/>
            <w:noWrap/>
            <w:hideMark/>
          </w:tcPr>
          <w:p w:rsidR="004A7075" w:rsidRPr="00620B9A" w:rsidRDefault="004A7075" w:rsidP="004A7075">
            <w:pPr>
              <w:rPr>
                <w:b/>
                <w:sz w:val="22"/>
              </w:rPr>
            </w:pPr>
            <w:r w:rsidRPr="00620B9A">
              <w:rPr>
                <w:b/>
                <w:sz w:val="22"/>
              </w:rPr>
              <w:t>154.790</w:t>
            </w:r>
          </w:p>
        </w:tc>
        <w:tc>
          <w:tcPr>
            <w:tcW w:w="970" w:type="dxa"/>
            <w:noWrap/>
            <w:hideMark/>
          </w:tcPr>
          <w:p w:rsidR="004A7075" w:rsidRPr="00620B9A" w:rsidRDefault="004A7075" w:rsidP="004A7075">
            <w:pPr>
              <w:rPr>
                <w:b/>
                <w:sz w:val="22"/>
              </w:rPr>
            </w:pPr>
            <w:r w:rsidRPr="00620B9A">
              <w:rPr>
                <w:b/>
                <w:sz w:val="22"/>
              </w:rPr>
              <w:t>157.160</w:t>
            </w:r>
          </w:p>
        </w:tc>
        <w:tc>
          <w:tcPr>
            <w:tcW w:w="1066" w:type="dxa"/>
            <w:noWrap/>
            <w:hideMark/>
          </w:tcPr>
          <w:p w:rsidR="004A7075" w:rsidRPr="00620B9A" w:rsidRDefault="004A7075" w:rsidP="004A7075">
            <w:pPr>
              <w:rPr>
                <w:b/>
                <w:sz w:val="22"/>
              </w:rPr>
            </w:pPr>
            <w:r w:rsidRPr="00620B9A">
              <w:rPr>
                <w:b/>
                <w:sz w:val="22"/>
              </w:rPr>
              <w:t>131.579</w:t>
            </w:r>
          </w:p>
        </w:tc>
      </w:tr>
    </w:tbl>
    <w:p w:rsidR="004A7075" w:rsidRPr="005C5536" w:rsidRDefault="004A7075" w:rsidP="005C5536"/>
    <w:p w:rsidR="009B1FF2" w:rsidRDefault="009B1FF2" w:rsidP="009B1FF2">
      <w:r>
        <w:t>I 2013 blev der udbetalt 15 % mere i kilometergodtgørelse,</w:t>
      </w:r>
      <w:r>
        <w:tab/>
        <w:t xml:space="preserve"> hvilket svarer til at der blev kørt ca. 71.000 km. mere i medarbejdernes egne biler end der blev kørt i 2012. Dette svarer til ca. 5.000 liter brændstof og lidt mere end 11 ton CO</w:t>
      </w:r>
      <w:r w:rsidRPr="009B1FF2">
        <w:rPr>
          <w:vertAlign w:val="subscript"/>
        </w:rPr>
        <w:t>2</w:t>
      </w:r>
    </w:p>
    <w:p w:rsidR="009B1FF2" w:rsidRDefault="009B1FF2" w:rsidP="009B1FF2"/>
    <w:p w:rsidR="009B1FF2" w:rsidRDefault="009B1FF2" w:rsidP="009B1FF2">
      <w:r>
        <w:t xml:space="preserve">Hjemmeplejen har et stort transportbehov. Dette gøres så miljørigtigt </w:t>
      </w:r>
    </w:p>
    <w:p w:rsidR="009B1FF2" w:rsidRDefault="009B1FF2" w:rsidP="009B1FF2">
      <w:r>
        <w:t xml:space="preserve">som muligt ved at hjemmeplejerne cykler i dagtimerne, og kun kører i bil i </w:t>
      </w:r>
    </w:p>
    <w:p w:rsidR="009B1FF2" w:rsidRDefault="009B1FF2" w:rsidP="009B1FF2">
      <w:r>
        <w:t xml:space="preserve">aften og nattetimerne, idet det er en del af deres ansættelse at stille deres egen cykel til rådighed i arbejdet. </w:t>
      </w:r>
    </w:p>
    <w:p w:rsidR="009B1FF2" w:rsidRDefault="009B1FF2" w:rsidP="009B1FF2"/>
    <w:p w:rsidR="00D70CEC" w:rsidRDefault="009B1FF2" w:rsidP="009B1FF2">
      <w:r>
        <w:t>Grøn mobilitet prioriteres i Fures</w:t>
      </w:r>
      <w:r w:rsidR="005C4479">
        <w:t>ø Kommune som virksomhed. 10 el</w:t>
      </w:r>
      <w:r>
        <w:t>cykler er placeret forskellige steder i administrationen. I 2013 har miljø- og klimaamba</w:t>
      </w:r>
      <w:r>
        <w:t>s</w:t>
      </w:r>
      <w:r>
        <w:t>sadørerne efterspurt klimacykler til brug i arbejdstiden. Ønsket om klimacykler er imødekommet, så der nu er både alm</w:t>
      </w:r>
      <w:r w:rsidR="005C4479">
        <w:t>indelige</w:t>
      </w:r>
      <w:r>
        <w:t xml:space="preserve"> cykler, elcykler og ladcykler med eldreven motor. Cyklerne bruges som erstatning for bilkørsel. Fra d. 29. maj til 20. dec. 2013, kørte klimacyklerne 16.000 km, og sparede lidt under 3 ton CO</w:t>
      </w:r>
      <w:r w:rsidRPr="009B1FF2">
        <w:rPr>
          <w:vertAlign w:val="subscript"/>
        </w:rPr>
        <w:t>2</w:t>
      </w:r>
      <w:r>
        <w:t>.</w:t>
      </w:r>
    </w:p>
    <w:p w:rsidR="009B1FF2" w:rsidRPr="005C5536" w:rsidRDefault="009B1FF2" w:rsidP="009B1FF2"/>
    <w:p w:rsidR="005C5536" w:rsidRPr="005C5536" w:rsidRDefault="005C5536" w:rsidP="005C5536">
      <w:pPr>
        <w:rPr>
          <w:b/>
        </w:rPr>
      </w:pPr>
      <w:r w:rsidRPr="005C5536">
        <w:rPr>
          <w:b/>
        </w:rPr>
        <w:t>Vejbelysning</w:t>
      </w:r>
    </w:p>
    <w:p w:rsidR="005C5536" w:rsidRDefault="005C5536" w:rsidP="005C5536">
      <w:r w:rsidRPr="005C5536">
        <w:t>Furesø Kommune udskifter lyskilderne i vejbelysningen med mere klimavenl</w:t>
      </w:r>
      <w:r w:rsidRPr="005C5536">
        <w:t>i</w:t>
      </w:r>
      <w:r w:rsidRPr="005C5536">
        <w:t xml:space="preserve">ge </w:t>
      </w:r>
      <w:r w:rsidR="006964E8">
        <w:t xml:space="preserve">armaturer til </w:t>
      </w:r>
      <w:r w:rsidRPr="005C5536">
        <w:t>lyskilder</w:t>
      </w:r>
      <w:r w:rsidR="00B23116">
        <w:t>,</w:t>
      </w:r>
      <w:r w:rsidRPr="005C5536">
        <w:t xml:space="preserve"> der bruger mindre el. Vejbelysningen udledte i 201</w:t>
      </w:r>
      <w:r w:rsidR="004F03E8">
        <w:t>3</w:t>
      </w:r>
      <w:r w:rsidR="00777202">
        <w:t xml:space="preserve"> </w:t>
      </w:r>
      <w:r w:rsidR="00C00491">
        <w:t>10 %</w:t>
      </w:r>
      <w:r w:rsidRPr="005C5536">
        <w:t xml:space="preserve"> af Furesø kommunes samlede CO</w:t>
      </w:r>
      <w:r w:rsidRPr="005C5536">
        <w:rPr>
          <w:vertAlign w:val="subscript"/>
        </w:rPr>
        <w:t>2</w:t>
      </w:r>
      <w:r w:rsidRPr="005C5536">
        <w:t>-</w:t>
      </w:r>
      <w:r w:rsidR="00B23116">
        <w:t>udledning</w:t>
      </w:r>
      <w:r w:rsidR="004F03E8">
        <w:t xml:space="preserve">. </w:t>
      </w:r>
      <w:r w:rsidR="00D70CEC">
        <w:t>F</w:t>
      </w:r>
      <w:r w:rsidRPr="005C5536">
        <w:t>orbrug</w:t>
      </w:r>
      <w:r w:rsidR="00D70CEC">
        <w:t>et</w:t>
      </w:r>
      <w:r w:rsidRPr="005C5536">
        <w:t xml:space="preserve"> </w:t>
      </w:r>
      <w:r w:rsidR="004F03E8">
        <w:t>af strøm til ve</w:t>
      </w:r>
      <w:r w:rsidR="004F03E8">
        <w:t>j</w:t>
      </w:r>
      <w:r w:rsidR="004F03E8">
        <w:t xml:space="preserve">belysning </w:t>
      </w:r>
      <w:r w:rsidRPr="005C5536">
        <w:t xml:space="preserve">ses her i tabellen. </w:t>
      </w:r>
    </w:p>
    <w:p w:rsidR="00620B9A" w:rsidRDefault="00620B9A" w:rsidP="005C5536"/>
    <w:tbl>
      <w:tblPr>
        <w:tblW w:w="62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993"/>
        <w:gridCol w:w="924"/>
        <w:gridCol w:w="1063"/>
        <w:gridCol w:w="993"/>
      </w:tblGrid>
      <w:tr w:rsidR="004F03E8" w:rsidRPr="004F03E8" w:rsidTr="004F03E8">
        <w:trPr>
          <w:trHeight w:val="307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E8" w:rsidRPr="00620B9A" w:rsidRDefault="004F03E8" w:rsidP="00620B9A">
            <w:pPr>
              <w:rPr>
                <w:b/>
              </w:rPr>
            </w:pPr>
            <w:r w:rsidRPr="00620B9A">
              <w:rPr>
                <w:b/>
              </w:rPr>
              <w:t>Vejbelysning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3E8" w:rsidRPr="00620B9A" w:rsidRDefault="004F03E8" w:rsidP="00620B9A">
            <w:pPr>
              <w:jc w:val="center"/>
              <w:rPr>
                <w:b/>
              </w:rPr>
            </w:pPr>
            <w:r w:rsidRPr="00620B9A">
              <w:rPr>
                <w:b/>
              </w:rPr>
              <w:t>Forbrug i MWh</w:t>
            </w:r>
          </w:p>
        </w:tc>
      </w:tr>
      <w:tr w:rsidR="004F03E8" w:rsidRPr="004F03E8" w:rsidTr="004F03E8">
        <w:trPr>
          <w:trHeight w:val="307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E8" w:rsidRPr="00620B9A" w:rsidRDefault="004F03E8" w:rsidP="00620B9A">
            <w:r w:rsidRPr="00620B9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E8" w:rsidRPr="00620B9A" w:rsidRDefault="004F03E8" w:rsidP="00620B9A">
            <w:pPr>
              <w:jc w:val="right"/>
            </w:pPr>
            <w:r w:rsidRPr="00620B9A">
              <w:t>2008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E8" w:rsidRPr="00620B9A" w:rsidRDefault="004F03E8" w:rsidP="00620B9A">
            <w:pPr>
              <w:jc w:val="right"/>
            </w:pPr>
            <w:r w:rsidRPr="00620B9A">
              <w:t>2011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E8" w:rsidRPr="00620B9A" w:rsidRDefault="004F03E8" w:rsidP="00620B9A">
            <w:pPr>
              <w:jc w:val="right"/>
            </w:pPr>
            <w:r w:rsidRPr="00620B9A"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E8" w:rsidRPr="00620B9A" w:rsidRDefault="004F03E8" w:rsidP="00620B9A">
            <w:pPr>
              <w:jc w:val="right"/>
            </w:pPr>
            <w:r w:rsidRPr="00620B9A">
              <w:t>2013</w:t>
            </w:r>
          </w:p>
        </w:tc>
      </w:tr>
      <w:tr w:rsidR="004F03E8" w:rsidRPr="004F03E8" w:rsidTr="004F03E8">
        <w:trPr>
          <w:trHeight w:val="307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E8" w:rsidRPr="00620B9A" w:rsidRDefault="004F03E8" w:rsidP="00620B9A">
            <w:pPr>
              <w:rPr>
                <w:b/>
              </w:rPr>
            </w:pPr>
            <w:r w:rsidRPr="00620B9A">
              <w:rPr>
                <w:b/>
              </w:rPr>
              <w:t>Vejbelysning i alt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E8" w:rsidRPr="00620B9A" w:rsidRDefault="004F03E8" w:rsidP="00620B9A">
            <w:pPr>
              <w:jc w:val="right"/>
              <w:rPr>
                <w:b/>
              </w:rPr>
            </w:pPr>
            <w:r w:rsidRPr="00620B9A">
              <w:rPr>
                <w:b/>
              </w:rPr>
              <w:t>2.321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E8" w:rsidRPr="00620B9A" w:rsidRDefault="004F03E8" w:rsidP="00620B9A">
            <w:pPr>
              <w:jc w:val="right"/>
              <w:rPr>
                <w:b/>
              </w:rPr>
            </w:pPr>
            <w:r w:rsidRPr="00620B9A">
              <w:rPr>
                <w:b/>
              </w:rPr>
              <w:t>2.176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E8" w:rsidRPr="00620B9A" w:rsidRDefault="004F03E8" w:rsidP="00620B9A">
            <w:pPr>
              <w:jc w:val="right"/>
              <w:rPr>
                <w:b/>
              </w:rPr>
            </w:pPr>
            <w:r w:rsidRPr="00620B9A">
              <w:rPr>
                <w:b/>
              </w:rPr>
              <w:t>2.141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E8" w:rsidRPr="00620B9A" w:rsidRDefault="004F03E8" w:rsidP="00620B9A">
            <w:pPr>
              <w:jc w:val="right"/>
              <w:rPr>
                <w:b/>
              </w:rPr>
            </w:pPr>
            <w:r w:rsidRPr="00620B9A">
              <w:rPr>
                <w:b/>
              </w:rPr>
              <w:t>2.153</w:t>
            </w:r>
          </w:p>
        </w:tc>
      </w:tr>
    </w:tbl>
    <w:p w:rsidR="004F03E8" w:rsidRPr="005C5536" w:rsidRDefault="004F03E8" w:rsidP="005C5536"/>
    <w:p w:rsidR="005C5536" w:rsidRPr="005C5536" w:rsidRDefault="005C5536" w:rsidP="005C5536">
      <w:r w:rsidRPr="005C5536">
        <w:t>Udskiftningen af armat</w:t>
      </w:r>
      <w:r w:rsidR="004F03E8">
        <w:t>urer fortsætter de kommende år og det forventes at ve</w:t>
      </w:r>
      <w:r w:rsidR="004F03E8">
        <w:t>j</w:t>
      </w:r>
      <w:r w:rsidR="004F03E8">
        <w:t>belysningen vil bruge mindre og mindre strøm</w:t>
      </w:r>
      <w:r w:rsidRPr="005C5536">
        <w:t xml:space="preserve">. </w:t>
      </w:r>
      <w:r w:rsidR="00671900">
        <w:t>Besparelsen kan ikke ses af t</w:t>
      </w:r>
      <w:r w:rsidR="00671900">
        <w:t>a</w:t>
      </w:r>
      <w:r w:rsidR="00671900">
        <w:t>bellen da der samtidig bygges nye boligområder</w:t>
      </w:r>
      <w:r w:rsidR="00777202">
        <w:t>,</w:t>
      </w:r>
      <w:r w:rsidR="00671900">
        <w:t xml:space="preserve"> hvor der opsættes ny bely</w:t>
      </w:r>
      <w:r w:rsidR="00671900">
        <w:t>s</w:t>
      </w:r>
      <w:r w:rsidR="00671900">
        <w:t>ning</w:t>
      </w:r>
      <w:r w:rsidR="00620B9A">
        <w:t>. D</w:t>
      </w:r>
      <w:r w:rsidR="00D70CEC">
        <w:t xml:space="preserve">erfor bruges der </w:t>
      </w:r>
      <w:r w:rsidR="00620B9A">
        <w:t xml:space="preserve">samlet </w:t>
      </w:r>
      <w:r w:rsidR="00D70CEC">
        <w:t>lidt</w:t>
      </w:r>
      <w:r w:rsidR="00671900">
        <w:t xml:space="preserve"> mere strøm til vejbelysning. </w:t>
      </w:r>
      <w:bookmarkStart w:id="0" w:name="_GoBack"/>
      <w:bookmarkEnd w:id="0"/>
    </w:p>
    <w:p w:rsidR="005C5536" w:rsidRPr="005C5536" w:rsidRDefault="005C5536" w:rsidP="005C5536">
      <w:pPr>
        <w:rPr>
          <w:b/>
        </w:rPr>
      </w:pPr>
    </w:p>
    <w:p w:rsidR="00620B9A" w:rsidRDefault="00620B9A" w:rsidP="005C5536">
      <w:pPr>
        <w:rPr>
          <w:b/>
        </w:rPr>
      </w:pPr>
    </w:p>
    <w:p w:rsidR="005C5536" w:rsidRPr="005C5536" w:rsidRDefault="005C5536" w:rsidP="005C5536">
      <w:pPr>
        <w:rPr>
          <w:b/>
        </w:rPr>
      </w:pPr>
      <w:r w:rsidRPr="005C5536">
        <w:rPr>
          <w:b/>
        </w:rPr>
        <w:lastRenderedPageBreak/>
        <w:t xml:space="preserve">Usikkerheder i regnskabet </w:t>
      </w:r>
    </w:p>
    <w:p w:rsidR="005C5536" w:rsidRPr="005C5536" w:rsidRDefault="005C5536" w:rsidP="005C5536">
      <w:r w:rsidRPr="005C5536">
        <w:t xml:space="preserve">Der er foretaget en betydelig indsats for at kvalitetssikre data. Det vurderes, at data er af høj kvalitet. </w:t>
      </w:r>
      <w:r w:rsidR="00C00491">
        <w:t xml:space="preserve">I 2013 er næsten alle aflæsninger elektroniske og der er </w:t>
      </w:r>
      <w:r w:rsidRPr="005C5536">
        <w:t xml:space="preserve">kun </w:t>
      </w:r>
      <w:r w:rsidR="00C00491">
        <w:t xml:space="preserve">foretaget </w:t>
      </w:r>
      <w:r w:rsidRPr="005C5536">
        <w:t>få manuelle aflæsninger</w:t>
      </w:r>
      <w:r w:rsidR="00C00491">
        <w:t xml:space="preserve">. </w:t>
      </w:r>
      <w:r w:rsidRPr="005C5536">
        <w:t>Kvalitetssikringen omfatter også konst</w:t>
      </w:r>
      <w:r w:rsidRPr="005C5536">
        <w:t>a</w:t>
      </w:r>
      <w:r w:rsidRPr="005C5536">
        <w:t xml:space="preserve">tering af dobbeltregistreringer og målerfejl. </w:t>
      </w:r>
    </w:p>
    <w:p w:rsidR="005C5536" w:rsidRPr="005C5536" w:rsidRDefault="005C5536" w:rsidP="005C5536">
      <w:pPr>
        <w:rPr>
          <w:b/>
        </w:rPr>
      </w:pPr>
    </w:p>
    <w:p w:rsidR="0036140D" w:rsidRDefault="0036140D" w:rsidP="005C5536">
      <w:pPr>
        <w:rPr>
          <w:b/>
        </w:rPr>
      </w:pPr>
    </w:p>
    <w:p w:rsidR="005C5536" w:rsidRPr="005C5536" w:rsidRDefault="005C5536" w:rsidP="005C5536">
      <w:pPr>
        <w:rPr>
          <w:b/>
        </w:rPr>
      </w:pPr>
      <w:r w:rsidRPr="005C5536">
        <w:rPr>
          <w:b/>
        </w:rPr>
        <w:t xml:space="preserve">Hvad kan regnskabet bruges til? </w:t>
      </w:r>
    </w:p>
    <w:p w:rsidR="00C00491" w:rsidRDefault="005C5536" w:rsidP="005C5536">
      <w:r w:rsidRPr="005C5536">
        <w:t xml:space="preserve">Regnskabet </w:t>
      </w:r>
      <w:r w:rsidR="00D212F1">
        <w:t xml:space="preserve">viser resultatet af Furesø Kommune </w:t>
      </w:r>
      <w:r w:rsidRPr="005C5536">
        <w:t>indsatsen</w:t>
      </w:r>
      <w:r w:rsidR="0036140D">
        <w:t xml:space="preserve"> for at reducere re</w:t>
      </w:r>
      <w:r w:rsidR="0036140D">
        <w:t>s</w:t>
      </w:r>
      <w:r w:rsidR="0036140D">
        <w:t>sourceforbruget</w:t>
      </w:r>
      <w:r w:rsidRPr="005C5536">
        <w:t>, både i kommunens bygninger, vejbelysningen og brændsto</w:t>
      </w:r>
      <w:r w:rsidRPr="005C5536">
        <w:t>f</w:t>
      </w:r>
      <w:r w:rsidRPr="005C5536">
        <w:t xml:space="preserve">forbrug. </w:t>
      </w:r>
    </w:p>
    <w:p w:rsidR="00C00491" w:rsidRDefault="00C00491" w:rsidP="005C5536"/>
    <w:p w:rsidR="00C00491" w:rsidRDefault="00C00491" w:rsidP="005C5536">
      <w:r>
        <w:t>I</w:t>
      </w:r>
      <w:r w:rsidR="00FF3270" w:rsidRPr="00D212F1">
        <w:t xml:space="preserve">ndsatsen </w:t>
      </w:r>
      <w:r w:rsidR="00FF3270">
        <w:t>for at reducere udledningen af CO</w:t>
      </w:r>
      <w:r w:rsidR="00FF3270" w:rsidRPr="00FF3270">
        <w:rPr>
          <w:vertAlign w:val="subscript"/>
        </w:rPr>
        <w:t>2</w:t>
      </w:r>
      <w:r w:rsidR="00FF3270">
        <w:t xml:space="preserve"> </w:t>
      </w:r>
      <w:r w:rsidR="00FF3270" w:rsidRPr="00D212F1">
        <w:t>er i overensstemmelse med Furesø Kommunes forpligtelse overfor Danmarks Naturfredningsforening, således at Furesø Kommune overholder klimakommuneaftalen.</w:t>
      </w:r>
      <w:r w:rsidR="00FF3270">
        <w:t xml:space="preserve"> </w:t>
      </w:r>
    </w:p>
    <w:p w:rsidR="00C00491" w:rsidRDefault="00C00491" w:rsidP="005C5536"/>
    <w:p w:rsidR="00777202" w:rsidRDefault="00FF3270" w:rsidP="005C5536">
      <w:r>
        <w:t>I</w:t>
      </w:r>
      <w:r w:rsidR="005C5536" w:rsidRPr="005C5536">
        <w:t xml:space="preserve">ndsatsen </w:t>
      </w:r>
      <w:r w:rsidR="00D212F1">
        <w:t>for at reducere udledningen af CO</w:t>
      </w:r>
      <w:r w:rsidR="00D212F1" w:rsidRPr="00D212F1">
        <w:rPr>
          <w:vertAlign w:val="subscript"/>
        </w:rPr>
        <w:t>2</w:t>
      </w:r>
      <w:r w:rsidR="00D212F1">
        <w:t xml:space="preserve"> giver særdeles flotte resultater, der langt overstiger Furesø Kommunes Forpligtelser som klimakommune og </w:t>
      </w:r>
      <w:r w:rsidR="00C00491">
        <w:t>ko</w:t>
      </w:r>
      <w:r w:rsidR="00C00491">
        <w:t>m</w:t>
      </w:r>
      <w:r w:rsidR="00C00491">
        <w:t xml:space="preserve">munen </w:t>
      </w:r>
      <w:r w:rsidR="00D212F1">
        <w:t>er godt på vej til at indfri målene på CO</w:t>
      </w:r>
      <w:r w:rsidR="00D212F1" w:rsidRPr="00D212F1">
        <w:rPr>
          <w:vertAlign w:val="subscript"/>
        </w:rPr>
        <w:t>2</w:t>
      </w:r>
      <w:r w:rsidR="00D212F1">
        <w:t xml:space="preserve"> området i </w:t>
      </w:r>
      <w:r w:rsidR="00C00491">
        <w:t xml:space="preserve">Furesø Kommunes </w:t>
      </w:r>
      <w:r w:rsidR="00D212F1">
        <w:t>Miljø- og Klimap</w:t>
      </w:r>
      <w:r w:rsidR="00C00491">
        <w:t>olitik</w:t>
      </w:r>
      <w:r w:rsidR="00D212F1">
        <w:t xml:space="preserve"> 2014. </w:t>
      </w:r>
    </w:p>
    <w:p w:rsidR="00C00491" w:rsidRPr="005C5536" w:rsidRDefault="00C00491" w:rsidP="005C5536"/>
    <w:p w:rsidR="008C4323" w:rsidRDefault="005C5536" w:rsidP="005C5536">
      <w:r w:rsidRPr="005C5536">
        <w:t>Regnskabet viser, at indsatsen med både tekniske tiltag og adfærdsændringer er væsentlige</w:t>
      </w:r>
      <w:r w:rsidR="00C00491">
        <w:t>, for at opnå reduktioner af CO</w:t>
      </w:r>
      <w:r w:rsidR="00C00491" w:rsidRPr="00C00491">
        <w:rPr>
          <w:vertAlign w:val="subscript"/>
        </w:rPr>
        <w:t>2</w:t>
      </w:r>
      <w:r w:rsidR="00C00491">
        <w:t xml:space="preserve"> udledningen</w:t>
      </w:r>
      <w:r w:rsidRPr="005C5536">
        <w:t>.</w:t>
      </w:r>
    </w:p>
    <w:sectPr w:rsidR="008C4323" w:rsidSect="000076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83" w:right="3402" w:bottom="1418" w:left="1418" w:header="2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50" w:rsidRDefault="00466450">
      <w:r>
        <w:separator/>
      </w:r>
    </w:p>
  </w:endnote>
  <w:endnote w:type="continuationSeparator" w:id="0">
    <w:p w:rsidR="00466450" w:rsidRDefault="0046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TL Argo TOT Medium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50" w:rsidRDefault="0046645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50" w:rsidRDefault="00620B9A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7pt;margin-top:789.8pt;width:80.2pt;height:19pt;z-index:251655680;mso-position-horizontal-relative:page;mso-position-vertical-relative:page" filled="f" stroked="f">
          <v:textbox style="mso-next-textbox:#_x0000_s2051" inset="0,0,0,0">
            <w:txbxContent>
              <w:p w:rsidR="00466450" w:rsidRPr="00850BA6" w:rsidRDefault="00466450">
                <w:pPr>
                  <w:rPr>
                    <w:rStyle w:val="Sidetal"/>
                  </w:rPr>
                </w:pPr>
                <w:r w:rsidRPr="00850BA6">
                  <w:rPr>
                    <w:rStyle w:val="Sidetal"/>
                  </w:rPr>
                  <w:t xml:space="preserve">Side </w:t>
                </w:r>
                <w:r w:rsidRPr="00850BA6">
                  <w:rPr>
                    <w:rStyle w:val="Sidetal"/>
                  </w:rPr>
                  <w:fldChar w:fldCharType="begin"/>
                </w:r>
                <w:r w:rsidRPr="00850BA6">
                  <w:rPr>
                    <w:rStyle w:val="Sidetal"/>
                  </w:rPr>
                  <w:instrText xml:space="preserve"> PAGE </w:instrText>
                </w:r>
                <w:r w:rsidRPr="00850BA6">
                  <w:rPr>
                    <w:rStyle w:val="Sidetal"/>
                  </w:rPr>
                  <w:fldChar w:fldCharType="separate"/>
                </w:r>
                <w:r w:rsidR="00620B9A">
                  <w:rPr>
                    <w:rStyle w:val="Sidetal"/>
                    <w:noProof/>
                  </w:rPr>
                  <w:t>6</w:t>
                </w:r>
                <w:r w:rsidRPr="00850BA6">
                  <w:rPr>
                    <w:rStyle w:val="Sidetal"/>
                  </w:rPr>
                  <w:fldChar w:fldCharType="end"/>
                </w:r>
                <w:r w:rsidRPr="00850BA6">
                  <w:rPr>
                    <w:rStyle w:val="Sidetal"/>
                  </w:rPr>
                  <w:t xml:space="preserve"> af </w:t>
                </w:r>
                <w:r w:rsidRPr="00850BA6">
                  <w:rPr>
                    <w:rStyle w:val="Sidetal"/>
                  </w:rPr>
                  <w:fldChar w:fldCharType="begin"/>
                </w:r>
                <w:r w:rsidRPr="00850BA6">
                  <w:rPr>
                    <w:rStyle w:val="Sidetal"/>
                  </w:rPr>
                  <w:instrText xml:space="preserve"> NUMPAGES </w:instrText>
                </w:r>
                <w:r w:rsidRPr="00850BA6">
                  <w:rPr>
                    <w:rStyle w:val="Sidetal"/>
                  </w:rPr>
                  <w:fldChar w:fldCharType="separate"/>
                </w:r>
                <w:r w:rsidR="00620B9A">
                  <w:rPr>
                    <w:rStyle w:val="Sidetal"/>
                    <w:noProof/>
                  </w:rPr>
                  <w:t>6</w:t>
                </w:r>
                <w:r w:rsidRPr="00850BA6"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50" w:rsidRDefault="0046645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50" w:rsidRDefault="00466450">
      <w:r>
        <w:separator/>
      </w:r>
    </w:p>
  </w:footnote>
  <w:footnote w:type="continuationSeparator" w:id="0">
    <w:p w:rsidR="00466450" w:rsidRDefault="0046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50" w:rsidRDefault="00620B9A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3" o:spid="_x0000_s2049" type="#_x0000_t75" style="position:absolute;margin-left:425.15pt;margin-top:42.5pt;width:125.05pt;height:41.75pt;z-index:-251657728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50" w:rsidRDefault="00466450" w:rsidP="008A654F">
    <w:pPr>
      <w:pStyle w:val="Sidehoved"/>
      <w:spacing w:line="180" w:lineRule="atLeast"/>
    </w:pPr>
  </w:p>
  <w:p w:rsidR="00466450" w:rsidRDefault="00466450">
    <w:pPr>
      <w:pStyle w:val="Sidehoved"/>
    </w:pPr>
  </w:p>
  <w:p w:rsidR="00466450" w:rsidRDefault="00466450">
    <w:pPr>
      <w:pStyle w:val="Sidehoved"/>
    </w:pPr>
  </w:p>
  <w:p w:rsidR="00466450" w:rsidRDefault="00466450">
    <w:pPr>
      <w:pStyle w:val="Sidehoved"/>
    </w:pPr>
  </w:p>
  <w:p w:rsidR="00466450" w:rsidRDefault="00466450">
    <w:pPr>
      <w:pStyle w:val="Sidehoved"/>
    </w:pPr>
  </w:p>
  <w:p w:rsidR="00466450" w:rsidRDefault="00466450">
    <w:pPr>
      <w:pStyle w:val="Sidehoved"/>
    </w:pPr>
  </w:p>
  <w:p w:rsidR="00466450" w:rsidRDefault="00466450">
    <w:pPr>
      <w:pStyle w:val="Sidehoved"/>
    </w:pPr>
  </w:p>
  <w:p w:rsidR="00466450" w:rsidRDefault="00620B9A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1" o:spid="_x0000_s2050" type="#_x0000_t75" style="position:absolute;margin-left:425.15pt;margin-top:42.5pt;width:125.05pt;height:41.75pt;z-index:-251659776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50" w:rsidRDefault="00620B9A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7.4pt;margin-top:222.05pt;width:119.5pt;height:389.95pt;z-index:251659776;mso-position-horizontal-relative:page;mso-position-vertical-relative:page" filled="f" stroked="f">
          <v:textbox style="mso-next-textbox:#_x0000_s2052" inset="0,0,0,0">
            <w:txbxContent>
              <w:p w:rsidR="00466450" w:rsidRPr="00E449FF" w:rsidRDefault="00466450" w:rsidP="00EA18C5">
                <w:pPr>
                  <w:pStyle w:val="Template-Adresse"/>
                  <w:rPr>
                    <w:szCs w:val="18"/>
                  </w:rPr>
                </w:pPr>
                <w:bookmarkStart w:id="1" w:name="bmkFldDokumentdato"/>
                <w:r w:rsidRPr="00E449FF">
                  <w:rPr>
                    <w:szCs w:val="18"/>
                  </w:rPr>
                  <w:t>Dato:</w:t>
                </w:r>
                <w:bookmarkEnd w:id="1"/>
                <w:r w:rsidRPr="00E449FF">
                  <w:rPr>
                    <w:szCs w:val="18"/>
                  </w:rPr>
                  <w:t xml:space="preserve"> </w:t>
                </w:r>
                <w:r>
                  <w:rPr>
                    <w:szCs w:val="18"/>
                  </w:rPr>
                  <w:t>29. April 2014</w:t>
                </w:r>
              </w:p>
              <w:p w:rsidR="00466450" w:rsidRPr="00E449FF" w:rsidRDefault="00466450" w:rsidP="00EA18C5">
                <w:pPr>
                  <w:pStyle w:val="Template-Adresse"/>
                  <w:rPr>
                    <w:szCs w:val="18"/>
                  </w:rPr>
                </w:pPr>
                <w:r w:rsidRPr="00E449FF">
                  <w:rPr>
                    <w:szCs w:val="18"/>
                  </w:rPr>
                  <w:t xml:space="preserve">Sags id: </w:t>
                </w:r>
                <w:r>
                  <w:rPr>
                    <w:szCs w:val="18"/>
                  </w:rPr>
                  <w:t>190-2010-6531</w:t>
                </w:r>
              </w:p>
              <w:p w:rsidR="00466450" w:rsidRPr="00791EC1" w:rsidRDefault="00466450">
                <w:pPr>
                  <w:rPr>
                    <w:noProof/>
                    <w:sz w:val="18"/>
                    <w:szCs w:val="18"/>
                  </w:rPr>
                </w:pPr>
                <w:bookmarkStart w:id="2" w:name="bmkADOmråde"/>
                <w:bookmarkEnd w:id="2"/>
                <w:r w:rsidRPr="00791EC1">
                  <w:rPr>
                    <w:noProof/>
                    <w:sz w:val="18"/>
                    <w:szCs w:val="18"/>
                  </w:rPr>
                  <w:t>Dok. nr. 190-48724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2" o:spid="_x0000_s2053" type="#_x0000_t75" style="position:absolute;margin-left:425.15pt;margin-top:42.5pt;width:125.05pt;height:41.75pt;z-index:-251658752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A83B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78DB"/>
    <w:multiLevelType w:val="multilevel"/>
    <w:tmpl w:val="4F98D2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D41540"/>
    <w:multiLevelType w:val="multilevel"/>
    <w:tmpl w:val="46429D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3127C6"/>
    <w:multiLevelType w:val="hybridMultilevel"/>
    <w:tmpl w:val="0A2E0B08"/>
    <w:lvl w:ilvl="0" w:tplc="73642C5C">
      <w:start w:val="1"/>
      <w:numFmt w:val="bullet"/>
      <w:pStyle w:val="Normal-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11F1D"/>
    <w:multiLevelType w:val="multilevel"/>
    <w:tmpl w:val="787E206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5945BC5"/>
    <w:multiLevelType w:val="multilevel"/>
    <w:tmpl w:val="BE2884F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5E12798"/>
    <w:multiLevelType w:val="hybridMultilevel"/>
    <w:tmpl w:val="4F98D2F4"/>
    <w:lvl w:ilvl="0" w:tplc="D0224234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17A95"/>
    <w:rsid w:val="000063C8"/>
    <w:rsid w:val="00006711"/>
    <w:rsid w:val="00007633"/>
    <w:rsid w:val="00016E7D"/>
    <w:rsid w:val="00030A91"/>
    <w:rsid w:val="00036730"/>
    <w:rsid w:val="000476FE"/>
    <w:rsid w:val="000827EC"/>
    <w:rsid w:val="00092416"/>
    <w:rsid w:val="000A2CAB"/>
    <w:rsid w:val="000E25FB"/>
    <w:rsid w:val="000F3E14"/>
    <w:rsid w:val="000F5DDB"/>
    <w:rsid w:val="00110B64"/>
    <w:rsid w:val="001537F7"/>
    <w:rsid w:val="001732DC"/>
    <w:rsid w:val="00175AF5"/>
    <w:rsid w:val="00176FCF"/>
    <w:rsid w:val="001861E5"/>
    <w:rsid w:val="00190FB9"/>
    <w:rsid w:val="001956FC"/>
    <w:rsid w:val="001C4096"/>
    <w:rsid w:val="001F4483"/>
    <w:rsid w:val="001F4BC7"/>
    <w:rsid w:val="0020700A"/>
    <w:rsid w:val="0021448B"/>
    <w:rsid w:val="00220E4C"/>
    <w:rsid w:val="00245ED0"/>
    <w:rsid w:val="0027061F"/>
    <w:rsid w:val="002906A6"/>
    <w:rsid w:val="002B16ED"/>
    <w:rsid w:val="002B1F9F"/>
    <w:rsid w:val="002E70C2"/>
    <w:rsid w:val="00317A95"/>
    <w:rsid w:val="00331DC6"/>
    <w:rsid w:val="0036140D"/>
    <w:rsid w:val="00361F53"/>
    <w:rsid w:val="00396C85"/>
    <w:rsid w:val="003A69F3"/>
    <w:rsid w:val="003E07F5"/>
    <w:rsid w:val="003F6D04"/>
    <w:rsid w:val="003F7EE5"/>
    <w:rsid w:val="00417445"/>
    <w:rsid w:val="00434859"/>
    <w:rsid w:val="00437699"/>
    <w:rsid w:val="004428F7"/>
    <w:rsid w:val="00442C28"/>
    <w:rsid w:val="004554E6"/>
    <w:rsid w:val="004646BD"/>
    <w:rsid w:val="00466450"/>
    <w:rsid w:val="00471F8D"/>
    <w:rsid w:val="00481C3A"/>
    <w:rsid w:val="00490262"/>
    <w:rsid w:val="00492D75"/>
    <w:rsid w:val="004A0819"/>
    <w:rsid w:val="004A7075"/>
    <w:rsid w:val="004B4613"/>
    <w:rsid w:val="004F03E8"/>
    <w:rsid w:val="00512D9B"/>
    <w:rsid w:val="00523F2C"/>
    <w:rsid w:val="00524DD9"/>
    <w:rsid w:val="005344EF"/>
    <w:rsid w:val="00544207"/>
    <w:rsid w:val="00551C84"/>
    <w:rsid w:val="00581155"/>
    <w:rsid w:val="00582C35"/>
    <w:rsid w:val="005C4479"/>
    <w:rsid w:val="005C5536"/>
    <w:rsid w:val="005D0D72"/>
    <w:rsid w:val="005F36DF"/>
    <w:rsid w:val="0061496B"/>
    <w:rsid w:val="00620B9A"/>
    <w:rsid w:val="006232CB"/>
    <w:rsid w:val="00636546"/>
    <w:rsid w:val="00637B29"/>
    <w:rsid w:val="00662CFF"/>
    <w:rsid w:val="00671900"/>
    <w:rsid w:val="00683199"/>
    <w:rsid w:val="00692AAF"/>
    <w:rsid w:val="006964E8"/>
    <w:rsid w:val="006B7E96"/>
    <w:rsid w:val="006C1D8C"/>
    <w:rsid w:val="006D1968"/>
    <w:rsid w:val="00712227"/>
    <w:rsid w:val="007453F8"/>
    <w:rsid w:val="00753802"/>
    <w:rsid w:val="00765778"/>
    <w:rsid w:val="00777202"/>
    <w:rsid w:val="00787B5C"/>
    <w:rsid w:val="00791EC1"/>
    <w:rsid w:val="007958CD"/>
    <w:rsid w:val="007A6FC3"/>
    <w:rsid w:val="007E2FD4"/>
    <w:rsid w:val="008349D9"/>
    <w:rsid w:val="00850BA6"/>
    <w:rsid w:val="0085784D"/>
    <w:rsid w:val="00864201"/>
    <w:rsid w:val="00870A8C"/>
    <w:rsid w:val="00882C4F"/>
    <w:rsid w:val="00890547"/>
    <w:rsid w:val="008A654F"/>
    <w:rsid w:val="008B71AA"/>
    <w:rsid w:val="008C4323"/>
    <w:rsid w:val="008F49CC"/>
    <w:rsid w:val="00955034"/>
    <w:rsid w:val="009704CD"/>
    <w:rsid w:val="009B1FF2"/>
    <w:rsid w:val="009D1565"/>
    <w:rsid w:val="009D174E"/>
    <w:rsid w:val="00A345D2"/>
    <w:rsid w:val="00A668B6"/>
    <w:rsid w:val="00A7191A"/>
    <w:rsid w:val="00A756DB"/>
    <w:rsid w:val="00AA1F82"/>
    <w:rsid w:val="00B23116"/>
    <w:rsid w:val="00B23B21"/>
    <w:rsid w:val="00B33DC5"/>
    <w:rsid w:val="00B3637E"/>
    <w:rsid w:val="00B81A13"/>
    <w:rsid w:val="00B87A88"/>
    <w:rsid w:val="00B9779E"/>
    <w:rsid w:val="00BA6722"/>
    <w:rsid w:val="00BC5D80"/>
    <w:rsid w:val="00BD1022"/>
    <w:rsid w:val="00BD558D"/>
    <w:rsid w:val="00C00491"/>
    <w:rsid w:val="00C2668D"/>
    <w:rsid w:val="00C33AB9"/>
    <w:rsid w:val="00C66AE6"/>
    <w:rsid w:val="00C87D71"/>
    <w:rsid w:val="00CB23B4"/>
    <w:rsid w:val="00CE1BE1"/>
    <w:rsid w:val="00CE7155"/>
    <w:rsid w:val="00D01804"/>
    <w:rsid w:val="00D17137"/>
    <w:rsid w:val="00D212F1"/>
    <w:rsid w:val="00D26035"/>
    <w:rsid w:val="00D45CB6"/>
    <w:rsid w:val="00D70CEC"/>
    <w:rsid w:val="00D80AD1"/>
    <w:rsid w:val="00D97922"/>
    <w:rsid w:val="00DC2370"/>
    <w:rsid w:val="00E04893"/>
    <w:rsid w:val="00E06A3D"/>
    <w:rsid w:val="00E11190"/>
    <w:rsid w:val="00E11EF4"/>
    <w:rsid w:val="00E20C90"/>
    <w:rsid w:val="00E449FF"/>
    <w:rsid w:val="00E84152"/>
    <w:rsid w:val="00E8699F"/>
    <w:rsid w:val="00EA0798"/>
    <w:rsid w:val="00EA0D53"/>
    <w:rsid w:val="00EA18C5"/>
    <w:rsid w:val="00EA1C57"/>
    <w:rsid w:val="00EA2292"/>
    <w:rsid w:val="00EB7C19"/>
    <w:rsid w:val="00EC049B"/>
    <w:rsid w:val="00EC6ECE"/>
    <w:rsid w:val="00ED3B3B"/>
    <w:rsid w:val="00ED45F4"/>
    <w:rsid w:val="00EF5E40"/>
    <w:rsid w:val="00F337E9"/>
    <w:rsid w:val="00F36161"/>
    <w:rsid w:val="00F60198"/>
    <w:rsid w:val="00F63F94"/>
    <w:rsid w:val="00F65D6E"/>
    <w:rsid w:val="00F94C60"/>
    <w:rsid w:val="00FB4F03"/>
    <w:rsid w:val="00FE2DA8"/>
    <w:rsid w:val="00FE53B7"/>
    <w:rsid w:val="00FF3023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537F7"/>
    <w:pPr>
      <w:spacing w:line="300" w:lineRule="atLeast"/>
    </w:pPr>
    <w:rPr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537F7"/>
    <w:pPr>
      <w:keepNext/>
      <w:spacing w:line="520" w:lineRule="atLeast"/>
      <w:outlineLvl w:val="0"/>
    </w:pPr>
    <w:rPr>
      <w:rFonts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537F7"/>
    <w:pPr>
      <w:keepNext/>
      <w:spacing w:line="360" w:lineRule="atLeast"/>
      <w:outlineLvl w:val="1"/>
    </w:pPr>
    <w:rPr>
      <w:rFonts w:cs="Arial"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1537F7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link w:val="Overskrift4Tegn"/>
    <w:uiPriority w:val="99"/>
    <w:qFormat/>
    <w:rsid w:val="001537F7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99"/>
    <w:qFormat/>
    <w:rsid w:val="001537F7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99"/>
    <w:qFormat/>
    <w:rsid w:val="001537F7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9"/>
    <w:qFormat/>
    <w:rsid w:val="001537F7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99"/>
    <w:qFormat/>
    <w:rsid w:val="001537F7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99"/>
    <w:qFormat/>
    <w:rsid w:val="001537F7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BC5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BC5D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BC5D80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BC5D80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BC5D8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BC5D80"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BC5D80"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BC5D80"/>
    <w:rPr>
      <w:rFonts w:ascii="Calibri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BC5D80"/>
    <w:rPr>
      <w:rFonts w:ascii="Cambria" w:hAnsi="Cambria" w:cs="Times New Roman"/>
    </w:rPr>
  </w:style>
  <w:style w:type="paragraph" w:styleId="Billedtekst">
    <w:name w:val="caption"/>
    <w:basedOn w:val="Normal"/>
    <w:next w:val="Normal"/>
    <w:uiPriority w:val="99"/>
    <w:qFormat/>
    <w:rsid w:val="001537F7"/>
    <w:rPr>
      <w:bCs/>
      <w:sz w:val="18"/>
      <w:szCs w:val="20"/>
    </w:rPr>
  </w:style>
  <w:style w:type="character" w:styleId="Slutnotehenvisning">
    <w:name w:val="endnote reference"/>
    <w:basedOn w:val="Standardskrifttypeiafsnit"/>
    <w:uiPriority w:val="99"/>
    <w:semiHidden/>
    <w:rsid w:val="001537F7"/>
    <w:rPr>
      <w:rFonts w:ascii="Times New Roman" w:hAnsi="Times New Roman" w:cs="Times New Roman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1537F7"/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BC5D80"/>
    <w:rPr>
      <w:rFonts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1537F7"/>
    <w:rPr>
      <w:rFonts w:ascii="Times New Roman" w:hAnsi="Times New Roman" w:cs="Times New Roman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1537F7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5D80"/>
    <w:rPr>
      <w:rFonts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1537F7"/>
    <w:pPr>
      <w:tabs>
        <w:tab w:val="center" w:pos="4819"/>
        <w:tab w:val="right" w:pos="9638"/>
      </w:tabs>
      <w:spacing w:line="26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BC5D80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850BA6"/>
    <w:pPr>
      <w:tabs>
        <w:tab w:val="center" w:pos="4819"/>
        <w:tab w:val="right" w:pos="9638"/>
      </w:tabs>
      <w:spacing w:line="260" w:lineRule="atLeast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BC5D80"/>
    <w:rPr>
      <w:rFonts w:cs="Times New Roman"/>
      <w:sz w:val="24"/>
      <w:szCs w:val="24"/>
    </w:rPr>
  </w:style>
  <w:style w:type="paragraph" w:customStyle="1" w:styleId="Template">
    <w:name w:val="Template"/>
    <w:uiPriority w:val="99"/>
    <w:rsid w:val="00D97922"/>
    <w:pPr>
      <w:spacing w:line="260" w:lineRule="atLeast"/>
    </w:pPr>
    <w:rPr>
      <w:noProof/>
      <w:sz w:val="18"/>
      <w:szCs w:val="24"/>
    </w:rPr>
  </w:style>
  <w:style w:type="paragraph" w:customStyle="1" w:styleId="Template-Adresse">
    <w:name w:val="Template - Adresse"/>
    <w:basedOn w:val="Template"/>
    <w:uiPriority w:val="99"/>
    <w:rsid w:val="00D97922"/>
  </w:style>
  <w:style w:type="paragraph" w:customStyle="1" w:styleId="Normal-Bullet">
    <w:name w:val="Normal - Bullet"/>
    <w:basedOn w:val="Normal"/>
    <w:uiPriority w:val="99"/>
    <w:rsid w:val="00D97922"/>
    <w:pPr>
      <w:numPr>
        <w:numId w:val="1"/>
      </w:numPr>
    </w:pPr>
  </w:style>
  <w:style w:type="paragraph" w:customStyle="1" w:styleId="Normal-Talliste">
    <w:name w:val="Normal - Talliste"/>
    <w:basedOn w:val="Normal"/>
    <w:uiPriority w:val="99"/>
    <w:rsid w:val="00D97922"/>
    <w:pPr>
      <w:numPr>
        <w:numId w:val="2"/>
      </w:numPr>
    </w:pPr>
  </w:style>
  <w:style w:type="character" w:styleId="Sidetal">
    <w:name w:val="page number"/>
    <w:basedOn w:val="Standardskrifttypeiafsnit"/>
    <w:uiPriority w:val="99"/>
    <w:rsid w:val="00850BA6"/>
    <w:rPr>
      <w:rFonts w:ascii="Times New Roman" w:hAnsi="Times New Roman" w:cs="Times New Roman"/>
      <w:sz w:val="22"/>
    </w:rPr>
  </w:style>
  <w:style w:type="table" w:styleId="Tabel-Gitter">
    <w:name w:val="Table Grid"/>
    <w:basedOn w:val="Tabel-Normal"/>
    <w:uiPriority w:val="99"/>
    <w:rsid w:val="008A654F"/>
    <w:pPr>
      <w:spacing w:line="30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Overskrift">
    <w:name w:val="Normal - Overskrift"/>
    <w:basedOn w:val="Normal"/>
    <w:uiPriority w:val="99"/>
    <w:rsid w:val="008A654F"/>
    <w:rPr>
      <w:b/>
    </w:rPr>
  </w:style>
  <w:style w:type="paragraph" w:customStyle="1" w:styleId="Template-Dokumentnavn">
    <w:name w:val="Template - Dokumentnavn"/>
    <w:basedOn w:val="Template"/>
    <w:uiPriority w:val="99"/>
    <w:rsid w:val="0085784D"/>
    <w:rPr>
      <w:rFonts w:ascii="DTL Argo TOT Medium" w:hAnsi="DTL Argo TOT Medium"/>
      <w:color w:val="007BA6"/>
      <w:spacing w:val="20"/>
      <w:sz w:val="3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locked/>
    <w:rsid w:val="005C55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553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locked/>
    <w:rsid w:val="004646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locked/>
    <w:rsid w:val="004646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46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locked/>
    <w:rsid w:val="004646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46BD"/>
    <w:rPr>
      <w:b/>
      <w:bCs/>
      <w:sz w:val="20"/>
      <w:szCs w:val="20"/>
    </w:rPr>
  </w:style>
  <w:style w:type="paragraph" w:styleId="Opstilling-punkttegn">
    <w:name w:val="List Bullet"/>
    <w:basedOn w:val="Normal"/>
    <w:uiPriority w:val="99"/>
    <w:semiHidden/>
    <w:unhideWhenUsed/>
    <w:locked/>
    <w:rsid w:val="00791EC1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l\Local%20Settings\Temporary%20Internet%20Files\Content.MSO\2786E96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2786E964</Template>
  <TotalTime>0</TotalTime>
  <Pages>6</Pages>
  <Words>1601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 og adresse]</vt:lpstr>
    </vt:vector>
  </TitlesOfParts>
  <Company>skabelondesign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adresse]</dc:title>
  <dc:subject/>
  <dc:creator>Pia Larsen</dc:creator>
  <cp:keywords/>
  <dc:description/>
  <cp:lastModifiedBy>srpe</cp:lastModifiedBy>
  <cp:revision>2</cp:revision>
  <dcterms:created xsi:type="dcterms:W3CDTF">2014-05-02T09:56:00Z</dcterms:created>
  <dcterms:modified xsi:type="dcterms:W3CDTF">2014-05-02T09:56:00Z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</Properties>
</file>