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0" w:rsidRPr="0032308D" w:rsidRDefault="00997B10" w:rsidP="0053388B">
      <w:pPr>
        <w:pStyle w:val="Titel"/>
        <w:rPr>
          <w:rFonts w:asciiTheme="minorHAnsi" w:hAnsiTheme="minorHAnsi" w:cstheme="minorHAnsi"/>
        </w:rPr>
      </w:pPr>
      <w:r w:rsidRPr="0032308D">
        <w:rPr>
          <w:rFonts w:asciiTheme="minorHAnsi" w:hAnsiTheme="minorHAnsi" w:cstheme="minorHAnsi"/>
        </w:rPr>
        <w:t>Samsø Kommune</w:t>
      </w:r>
      <w:r w:rsidR="0053388B" w:rsidRPr="0032308D">
        <w:rPr>
          <w:rFonts w:asciiTheme="minorHAnsi" w:hAnsiTheme="minorHAnsi" w:cstheme="minorHAnsi"/>
        </w:rPr>
        <w:t>, klimaregnskab</w:t>
      </w:r>
      <w:r w:rsidR="00653E40">
        <w:rPr>
          <w:rFonts w:asciiTheme="minorHAnsi" w:hAnsiTheme="minorHAnsi" w:cstheme="minorHAnsi"/>
        </w:rPr>
        <w:t xml:space="preserve"> 2013</w:t>
      </w:r>
      <w:bookmarkStart w:id="0" w:name="_GoBack"/>
      <w:bookmarkEnd w:id="0"/>
      <w:r w:rsidR="0053388B" w:rsidRPr="0032308D">
        <w:rPr>
          <w:rFonts w:asciiTheme="minorHAnsi" w:hAnsiTheme="minorHAnsi" w:cstheme="minorHAnsi"/>
        </w:rPr>
        <w:t xml:space="preserve">. </w:t>
      </w:r>
    </w:p>
    <w:p w:rsidR="00997B10" w:rsidRPr="0032308D" w:rsidRDefault="00997B10" w:rsidP="0053388B">
      <w:pPr>
        <w:pStyle w:val="Titel"/>
        <w:rPr>
          <w:rFonts w:asciiTheme="minorHAnsi" w:hAnsiTheme="minorHAnsi" w:cstheme="minorHAnsi"/>
        </w:rPr>
      </w:pPr>
    </w:p>
    <w:p w:rsidR="0053388B" w:rsidRPr="0032308D" w:rsidRDefault="0053388B">
      <w:pPr>
        <w:rPr>
          <w:rFonts w:cstheme="minorHAnsi"/>
        </w:rPr>
      </w:pPr>
      <w:r w:rsidRPr="0032308D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D0274" wp14:editId="0A8404BE">
                <wp:simplePos x="0" y="0"/>
                <wp:positionH relativeFrom="column">
                  <wp:posOffset>3730625</wp:posOffset>
                </wp:positionH>
                <wp:positionV relativeFrom="paragraph">
                  <wp:posOffset>31115</wp:posOffset>
                </wp:positionV>
                <wp:extent cx="2595880" cy="3622675"/>
                <wp:effectExtent l="0" t="0" r="13970" b="15875"/>
                <wp:wrapTight wrapText="bothSides">
                  <wp:wrapPolygon edited="0">
                    <wp:start x="0" y="0"/>
                    <wp:lineTo x="0" y="21581"/>
                    <wp:lineTo x="21558" y="21581"/>
                    <wp:lineTo x="21558" y="0"/>
                    <wp:lineTo x="0" y="0"/>
                  </wp:wrapPolygon>
                </wp:wrapTight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622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8F" w:rsidRDefault="00230B8F" w:rsidP="005338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Hvad er en klimakommune?</w:t>
                            </w:r>
                          </w:p>
                          <w:p w:rsidR="00230B8F" w:rsidRDefault="00230B8F" w:rsidP="005338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Klimakommune forpligter sig til at reducere udledningen af drivhusgasser med mindst 2 % per år for kommunen som virksomhed, og visse kommuner har endda valgt at sætte målet højere end 2 % pr. år. Reduktionsmålet er et absolut mål, som altså ikke skal korrigeres for kommunens ændringer i aktivitetsniveau, befolkningstal, bygningsmasse eller andre udviklinger. Der er dog visse undtagelser, som beskrives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vejledningen.</w:t>
                            </w:r>
                          </w:p>
                          <w:p w:rsidR="00230B8F" w:rsidRDefault="00230B8F" w:rsidP="005338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Samsø Kommune har forpligtet sig således:</w:t>
                            </w:r>
                          </w:p>
                          <w:p w:rsidR="00230B8F" w:rsidRPr="0053388B" w:rsidRDefault="00230B8F" w:rsidP="005338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88B">
                              <w:rPr>
                                <w:sz w:val="20"/>
                                <w:szCs w:val="20"/>
                              </w:rPr>
                              <w:t>Startdato: September 2008</w:t>
                            </w:r>
                          </w:p>
                          <w:p w:rsidR="00230B8F" w:rsidRPr="0053388B" w:rsidRDefault="00230B8F" w:rsidP="005338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88B">
                              <w:rPr>
                                <w:sz w:val="20"/>
                                <w:szCs w:val="20"/>
                              </w:rPr>
                              <w:t>Reduktionsmål: 2% pr. år</w:t>
                            </w:r>
                          </w:p>
                          <w:p w:rsidR="00230B8F" w:rsidRDefault="00230B8F" w:rsidP="0053388B">
                            <w:r w:rsidRPr="0053388B">
                              <w:rPr>
                                <w:sz w:val="20"/>
                                <w:szCs w:val="20"/>
                              </w:rPr>
                              <w:t>Aftalens gyldighed: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93.75pt;margin-top:2.45pt;width:204.4pt;height:2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" fillcolor="#c2d69b [1942]" strokeweight=".5pt">
                <v:textbox>
                  <w:txbxContent>
                    <w:p w:rsidR="00230B8F" w:rsidRDefault="00230B8F" w:rsidP="005338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Hvad er en klimakommune?</w:t>
                      </w:r>
                    </w:p>
                    <w:p w:rsidR="00230B8F" w:rsidRDefault="00230B8F" w:rsidP="005338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Klimakommune forpligter sig til at reducere udledningen af drivhusgasser med mindst 2 % per år for kommunen som virksomhed, og visse kommuner har endda valgt at sætte målet højere end 2 % pr. år. Reduktionsmålet er et absolut mål, som altså ikke skal korrigeres for kommunens ændringer i aktivitetsniveau, befolkningstal, bygningsmasse eller andre udviklinger. Der er dog visse undtagelser, som beskrives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vejledningen.</w:t>
                      </w:r>
                    </w:p>
                    <w:p w:rsidR="00230B8F" w:rsidRDefault="00230B8F" w:rsidP="005338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Samsø Kommune har forpligtet sig således:</w:t>
                      </w:r>
                    </w:p>
                    <w:p w:rsidR="00230B8F" w:rsidRPr="0053388B" w:rsidRDefault="00230B8F" w:rsidP="0053388B">
                      <w:pPr>
                        <w:rPr>
                          <w:sz w:val="20"/>
                          <w:szCs w:val="20"/>
                        </w:rPr>
                      </w:pPr>
                      <w:r w:rsidRPr="0053388B">
                        <w:rPr>
                          <w:sz w:val="20"/>
                          <w:szCs w:val="20"/>
                        </w:rPr>
                        <w:t>Startdato: September 2008</w:t>
                      </w:r>
                    </w:p>
                    <w:p w:rsidR="00230B8F" w:rsidRPr="0053388B" w:rsidRDefault="00230B8F" w:rsidP="0053388B">
                      <w:pPr>
                        <w:rPr>
                          <w:sz w:val="20"/>
                          <w:szCs w:val="20"/>
                        </w:rPr>
                      </w:pPr>
                      <w:r w:rsidRPr="0053388B">
                        <w:rPr>
                          <w:sz w:val="20"/>
                          <w:szCs w:val="20"/>
                        </w:rPr>
                        <w:t>Reduktionsmål: 2% pr. år</w:t>
                      </w:r>
                    </w:p>
                    <w:p w:rsidR="00230B8F" w:rsidRDefault="00230B8F" w:rsidP="0053388B">
                      <w:r w:rsidRPr="0053388B">
                        <w:rPr>
                          <w:sz w:val="20"/>
                          <w:szCs w:val="20"/>
                        </w:rPr>
                        <w:t>Aftalens gyldighed: 2025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7B10" w:rsidRPr="0032308D">
        <w:rPr>
          <w:rFonts w:cstheme="minorHAnsi"/>
        </w:rPr>
        <w:t xml:space="preserve">Hermed følger Samsø Kommunes CO2 regnskab for 2013. </w:t>
      </w:r>
      <w:r w:rsidR="0014133E" w:rsidRPr="0032308D">
        <w:rPr>
          <w:rFonts w:cstheme="minorHAnsi"/>
        </w:rPr>
        <w:t>Nærværende regnskab har inkluderet enkelte delresultater</w:t>
      </w:r>
      <w:r w:rsidR="00D42026" w:rsidRPr="0032308D">
        <w:rPr>
          <w:rFonts w:cstheme="minorHAnsi"/>
        </w:rPr>
        <w:t xml:space="preserve"> inde for de enkelte energiforbrug og ellers er det selve konklusionen på om der er opnået energibesparelser der er i fokus. </w:t>
      </w:r>
    </w:p>
    <w:p w:rsidR="0053388B" w:rsidRPr="0032308D" w:rsidRDefault="0053388B" w:rsidP="0053388B">
      <w:pPr>
        <w:rPr>
          <w:rFonts w:cstheme="minorHAnsi"/>
          <w:b/>
        </w:rPr>
      </w:pPr>
      <w:r w:rsidRPr="0032308D">
        <w:rPr>
          <w:rFonts w:cstheme="minorHAnsi"/>
          <w:b/>
        </w:rPr>
        <w:t>Hvor er Samsø Klimkommune?</w:t>
      </w:r>
    </w:p>
    <w:p w:rsidR="0053388B" w:rsidRPr="0032308D" w:rsidRDefault="0053388B" w:rsidP="0053388B">
      <w:pPr>
        <w:rPr>
          <w:rFonts w:cstheme="minorHAnsi"/>
          <w:b/>
        </w:rPr>
      </w:pPr>
      <w:r w:rsidRPr="0032308D">
        <w:rPr>
          <w:rFonts w:cstheme="minorHAnsi"/>
        </w:rPr>
        <w:t>Samsø blev i 1997 udnævnt til Danmarks Vedvarende Energi Ø og på 10 år blevet der opsat vindmøller og etableret varmeværke, så Samsø producerede og stadig producere mere vedvarende energi end den energi der samlet set forbruges på Samsø.</w:t>
      </w:r>
      <w:r w:rsidRPr="0032308D">
        <w:rPr>
          <w:rFonts w:cstheme="minorHAnsi"/>
        </w:rPr>
        <w:tab/>
        <w:t xml:space="preserve"> 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 xml:space="preserve">Samsø Kommune har fra begyndelsen været engageret i arbejdet og har </w:t>
      </w:r>
      <w:r w:rsidR="007328FE" w:rsidRPr="0032308D">
        <w:rPr>
          <w:rFonts w:cstheme="minorHAnsi"/>
        </w:rPr>
        <w:t xml:space="preserve">blandt andet investeret i 5 af </w:t>
      </w:r>
      <w:r w:rsidRPr="0032308D">
        <w:rPr>
          <w:rFonts w:cstheme="minorHAnsi"/>
        </w:rPr>
        <w:t>1</w:t>
      </w:r>
      <w:r w:rsidR="007328FE" w:rsidRPr="0032308D">
        <w:rPr>
          <w:rFonts w:cstheme="minorHAnsi"/>
        </w:rPr>
        <w:t>0 havvindmøller syd for Samsø. Denne investering var, for Samsø Kommune,</w:t>
      </w:r>
      <w:r w:rsidRPr="0032308D">
        <w:rPr>
          <w:rFonts w:cstheme="minorHAnsi"/>
        </w:rPr>
        <w:t xml:space="preserve"> på hele 125 millioner kroner, der hvert år laver ren og vedvarende </w:t>
      </w:r>
      <w:r w:rsidR="00AE50EC" w:rsidRPr="0032308D">
        <w:rPr>
          <w:rFonts w:cstheme="minorHAnsi"/>
        </w:rPr>
        <w:t>strøm til hvad der svarer til 8</w:t>
      </w:r>
      <w:r w:rsidRPr="0032308D">
        <w:rPr>
          <w:rFonts w:cstheme="minorHAnsi"/>
        </w:rPr>
        <w:t xml:space="preserve">.000 </w:t>
      </w:r>
      <w:r w:rsidR="00AE50EC" w:rsidRPr="0032308D">
        <w:rPr>
          <w:rFonts w:cstheme="minorHAnsi"/>
        </w:rPr>
        <w:t>husstande</w:t>
      </w:r>
      <w:r w:rsidRPr="0032308D">
        <w:rPr>
          <w:rFonts w:cstheme="minorHAnsi"/>
        </w:rPr>
        <w:t>.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>Samsø Kommune har i 2011 besluttet, at Samsø skal være uafhængig af fossile drivmidler som olie, benzin og kul i 2030.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 xml:space="preserve">Det betyder </w:t>
      </w:r>
      <w:r w:rsidR="00A91D80" w:rsidRPr="0032308D">
        <w:rPr>
          <w:rFonts w:cstheme="minorHAnsi"/>
        </w:rPr>
        <w:t>en indsats på øens og kommunens køretøjer som</w:t>
      </w:r>
      <w:r w:rsidRPr="0032308D">
        <w:rPr>
          <w:rFonts w:cstheme="minorHAnsi"/>
        </w:rPr>
        <w:t xml:space="preserve"> biler,</w:t>
      </w:r>
      <w:r w:rsidR="00A91D80" w:rsidRPr="0032308D">
        <w:rPr>
          <w:rFonts w:cstheme="minorHAnsi"/>
        </w:rPr>
        <w:t xml:space="preserve"> busser, traktorer og færger.  Ligeledes skal den </w:t>
      </w:r>
      <w:r w:rsidRPr="0032308D">
        <w:rPr>
          <w:rFonts w:cstheme="minorHAnsi"/>
        </w:rPr>
        <w:t>energi de</w:t>
      </w:r>
      <w:r w:rsidR="00A91D80" w:rsidRPr="0032308D">
        <w:rPr>
          <w:rFonts w:cstheme="minorHAnsi"/>
        </w:rPr>
        <w:t>r bruges, bruges</w:t>
      </w:r>
      <w:r w:rsidRPr="0032308D">
        <w:rPr>
          <w:rFonts w:cstheme="minorHAnsi"/>
        </w:rPr>
        <w:t xml:space="preserve"> effektivt og der skal producere endnu mere vedvarende energi fra sol, vind og biomasse.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>Samsø Kommune arbejder pragmatisk med implementering af vedvarende energi løsning</w:t>
      </w:r>
      <w:r w:rsidR="00A91D80" w:rsidRPr="0032308D">
        <w:rPr>
          <w:rFonts w:cstheme="minorHAnsi"/>
        </w:rPr>
        <w:t>er</w:t>
      </w:r>
      <w:r w:rsidRPr="0032308D">
        <w:rPr>
          <w:rFonts w:cstheme="minorHAnsi"/>
        </w:rPr>
        <w:t xml:space="preserve">. Således er cirka 30 % af alle kommunal ejede biler elbiler, der er etableret solcelleanlæg på en række kommunale bygninger og der energirenoveres kontinuert. 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 xml:space="preserve">Læs mere om Samsø som fossilfri ø i 2030 her: </w:t>
      </w:r>
      <w:hyperlink r:id="rId8" w:history="1">
        <w:r w:rsidRPr="0032308D">
          <w:rPr>
            <w:rStyle w:val="Hyperlink"/>
            <w:rFonts w:cstheme="minorHAnsi"/>
          </w:rPr>
          <w:t>http://samsoe-strategi.cowi.webhouse.dk/dk/planstrategi/samsoe_som_fossilfri_oe/</w:t>
        </w:r>
      </w:hyperlink>
      <w:r w:rsidRPr="0032308D">
        <w:rPr>
          <w:rFonts w:cstheme="minorHAnsi"/>
        </w:rPr>
        <w:t xml:space="preserve"> </w:t>
      </w:r>
    </w:p>
    <w:p w:rsidR="0053388B" w:rsidRPr="0032308D" w:rsidRDefault="0053388B" w:rsidP="0053388B">
      <w:pPr>
        <w:pStyle w:val="Overskrift2"/>
        <w:rPr>
          <w:rFonts w:asciiTheme="minorHAnsi" w:hAnsiTheme="minorHAnsi" w:cstheme="minorHAnsi"/>
        </w:rPr>
      </w:pPr>
    </w:p>
    <w:p w:rsidR="0053388B" w:rsidRPr="0032308D" w:rsidRDefault="0053388B" w:rsidP="0053388B">
      <w:pPr>
        <w:pStyle w:val="Overskrift2"/>
        <w:rPr>
          <w:rFonts w:asciiTheme="minorHAnsi" w:hAnsiTheme="minorHAnsi" w:cstheme="minorHAnsi"/>
        </w:rPr>
      </w:pPr>
    </w:p>
    <w:p w:rsidR="0053388B" w:rsidRPr="0032308D" w:rsidRDefault="0053388B" w:rsidP="0053388B">
      <w:pPr>
        <w:pStyle w:val="Overskrift2"/>
        <w:rPr>
          <w:rFonts w:asciiTheme="minorHAnsi" w:hAnsiTheme="minorHAnsi" w:cstheme="minorHAnsi"/>
        </w:rPr>
      </w:pPr>
    </w:p>
    <w:p w:rsidR="0053388B" w:rsidRPr="0032308D" w:rsidRDefault="0053388B">
      <w:p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32308D">
        <w:rPr>
          <w:rFonts w:cstheme="minorHAnsi"/>
        </w:rPr>
        <w:br w:type="page"/>
      </w:r>
    </w:p>
    <w:p w:rsidR="00023CB4" w:rsidRPr="0032308D" w:rsidRDefault="00404306" w:rsidP="0053388B">
      <w:pPr>
        <w:pStyle w:val="Overskrift2"/>
        <w:rPr>
          <w:rFonts w:asciiTheme="minorHAnsi" w:hAnsiTheme="minorHAnsi" w:cstheme="minorHAnsi"/>
        </w:rPr>
      </w:pPr>
      <w:r w:rsidRPr="0032308D">
        <w:rPr>
          <w:rFonts w:asciiTheme="minorHAnsi" w:hAnsiTheme="minorHAnsi" w:cstheme="minorHAnsi"/>
        </w:rPr>
        <w:lastRenderedPageBreak/>
        <w:t>Hvad er med?</w:t>
      </w:r>
    </w:p>
    <w:p w:rsidR="0053388B" w:rsidRPr="0032308D" w:rsidRDefault="00023CB4">
      <w:pPr>
        <w:rPr>
          <w:rFonts w:cstheme="minorHAnsi"/>
        </w:rPr>
      </w:pPr>
      <w:r w:rsidRPr="0032308D">
        <w:rPr>
          <w:rFonts w:cstheme="minorHAnsi"/>
        </w:rPr>
        <w:t>I følgende beregninger er</w:t>
      </w:r>
      <w:r w:rsidR="0053388B" w:rsidRPr="0032308D">
        <w:rPr>
          <w:rFonts w:cstheme="minorHAnsi"/>
        </w:rPr>
        <w:t xml:space="preserve"> inddraget kommunal</w:t>
      </w:r>
      <w:r w:rsidRPr="0032308D">
        <w:rPr>
          <w:rFonts w:cstheme="minorHAnsi"/>
        </w:rPr>
        <w:t xml:space="preserve"> ejede</w:t>
      </w:r>
      <w:r w:rsidR="0053388B" w:rsidRPr="0032308D">
        <w:rPr>
          <w:rFonts w:cstheme="minorHAnsi"/>
        </w:rPr>
        <w:t>;</w:t>
      </w:r>
      <w:r w:rsidRPr="0032308D">
        <w:rPr>
          <w:rFonts w:cstheme="minorHAnsi"/>
        </w:rPr>
        <w:t xml:space="preserve"> </w:t>
      </w:r>
    </w:p>
    <w:p w:rsidR="0053388B" w:rsidRPr="0032308D" w:rsidRDefault="00023CB4" w:rsidP="0053388B">
      <w:pPr>
        <w:pStyle w:val="Listeafsnit"/>
        <w:numPr>
          <w:ilvl w:val="0"/>
          <w:numId w:val="1"/>
        </w:numPr>
        <w:rPr>
          <w:rFonts w:cstheme="minorHAnsi"/>
        </w:rPr>
      </w:pPr>
      <w:r w:rsidRPr="0032308D">
        <w:rPr>
          <w:rFonts w:cstheme="minorHAnsi"/>
        </w:rPr>
        <w:t xml:space="preserve">bygninger, </w:t>
      </w:r>
    </w:p>
    <w:p w:rsidR="0053388B" w:rsidRPr="0032308D" w:rsidRDefault="00023CB4" w:rsidP="0053388B">
      <w:pPr>
        <w:pStyle w:val="Listeafsnit"/>
        <w:numPr>
          <w:ilvl w:val="0"/>
          <w:numId w:val="1"/>
        </w:numPr>
        <w:rPr>
          <w:rFonts w:cstheme="minorHAnsi"/>
        </w:rPr>
      </w:pPr>
      <w:r w:rsidRPr="0032308D">
        <w:rPr>
          <w:rFonts w:cstheme="minorHAnsi"/>
        </w:rPr>
        <w:t xml:space="preserve">vejbelysning, </w:t>
      </w:r>
    </w:p>
    <w:p w:rsidR="0053388B" w:rsidRPr="0032308D" w:rsidRDefault="00023CB4" w:rsidP="0053388B">
      <w:pPr>
        <w:pStyle w:val="Listeafsnit"/>
        <w:numPr>
          <w:ilvl w:val="0"/>
          <w:numId w:val="1"/>
        </w:numPr>
        <w:rPr>
          <w:rFonts w:cstheme="minorHAnsi"/>
        </w:rPr>
      </w:pPr>
      <w:r w:rsidRPr="0032308D">
        <w:rPr>
          <w:rFonts w:cstheme="minorHAnsi"/>
        </w:rPr>
        <w:t xml:space="preserve">transport midler og </w:t>
      </w:r>
    </w:p>
    <w:p w:rsidR="00023CB4" w:rsidRPr="0032308D" w:rsidRDefault="00023CB4" w:rsidP="0053388B">
      <w:pPr>
        <w:pStyle w:val="Listeafsnit"/>
        <w:numPr>
          <w:ilvl w:val="0"/>
          <w:numId w:val="1"/>
        </w:numPr>
        <w:rPr>
          <w:rFonts w:cstheme="minorHAnsi"/>
        </w:rPr>
      </w:pPr>
      <w:r w:rsidRPr="0032308D">
        <w:rPr>
          <w:rFonts w:cstheme="minorHAnsi"/>
        </w:rPr>
        <w:t xml:space="preserve">kommunalt ejet VE-anlæg medregnet. </w:t>
      </w:r>
    </w:p>
    <w:p w:rsidR="0053388B" w:rsidRPr="0032308D" w:rsidRDefault="0053388B" w:rsidP="0053388B">
      <w:pPr>
        <w:rPr>
          <w:rFonts w:cstheme="minorHAnsi"/>
        </w:rPr>
      </w:pPr>
      <w:r w:rsidRPr="0032308D">
        <w:rPr>
          <w:rFonts w:cstheme="minorHAnsi"/>
        </w:rPr>
        <w:t xml:space="preserve">Under transport er kun de kommunalejede biler taget med. </w:t>
      </w:r>
    </w:p>
    <w:p w:rsidR="0053388B" w:rsidRPr="0032308D" w:rsidRDefault="0053388B" w:rsidP="0053388B">
      <w:pPr>
        <w:pStyle w:val="Overskrift2"/>
        <w:rPr>
          <w:rFonts w:asciiTheme="minorHAnsi" w:hAnsiTheme="minorHAnsi" w:cstheme="minorHAnsi"/>
        </w:rPr>
      </w:pPr>
      <w:r w:rsidRPr="0032308D">
        <w:rPr>
          <w:rFonts w:asciiTheme="minorHAnsi" w:hAnsiTheme="minorHAnsi" w:cstheme="minorHAnsi"/>
        </w:rPr>
        <w:t xml:space="preserve">Forbrugs og emissionsresultater </w:t>
      </w:r>
    </w:p>
    <w:p w:rsidR="003B1B32" w:rsidRPr="0032308D" w:rsidRDefault="003B1B32" w:rsidP="0053388B">
      <w:pPr>
        <w:rPr>
          <w:rFonts w:cstheme="minorHAnsi"/>
        </w:rPr>
      </w:pPr>
      <w:r w:rsidRPr="0032308D">
        <w:rPr>
          <w:rFonts w:cstheme="minorHAnsi"/>
        </w:rPr>
        <w:t>Kom</w:t>
      </w:r>
      <w:r w:rsidR="00EA4E3B" w:rsidRPr="0032308D">
        <w:rPr>
          <w:rFonts w:cstheme="minorHAnsi"/>
        </w:rPr>
        <w:t>munale bygningers energiforbrug samt vejbelysning</w:t>
      </w:r>
      <w:r w:rsidRPr="0032308D">
        <w:rPr>
          <w:rFonts w:cstheme="minorHAnsi"/>
        </w:rPr>
        <w:t xml:space="preserve"> </w:t>
      </w:r>
    </w:p>
    <w:p w:rsidR="006C0A14" w:rsidRPr="0032308D" w:rsidRDefault="006C0A14" w:rsidP="0053388B">
      <w:pPr>
        <w:pStyle w:val="Undertitel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2308D">
        <w:rPr>
          <w:rFonts w:asciiTheme="minorHAnsi" w:hAnsiTheme="minorHAnsi" w:cstheme="minorHAnsi"/>
          <w:b/>
        </w:rPr>
        <w:t>Det samlede elforbrug.</w:t>
      </w:r>
    </w:p>
    <w:p w:rsidR="00EA4E3B" w:rsidRPr="0032308D" w:rsidRDefault="002A5305" w:rsidP="00EA4E3B">
      <w:pPr>
        <w:keepNext/>
        <w:jc w:val="center"/>
        <w:rPr>
          <w:rFonts w:cstheme="minorHAnsi"/>
        </w:rPr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05B6B662" wp14:editId="4D7F7A68">
            <wp:extent cx="4320000" cy="1800000"/>
            <wp:effectExtent l="0" t="0" r="23495" b="1016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5305" w:rsidRPr="0032308D" w:rsidRDefault="00EA4E3B" w:rsidP="00EA4E3B">
      <w:pPr>
        <w:pStyle w:val="Billedtekst"/>
        <w:jc w:val="center"/>
        <w:rPr>
          <w:rFonts w:cstheme="minorHAnsi"/>
        </w:rPr>
      </w:pPr>
      <w:r w:rsidRPr="0032308D">
        <w:rPr>
          <w:rFonts w:cstheme="minorHAnsi"/>
        </w:rPr>
        <w:t xml:space="preserve">Figur </w:t>
      </w:r>
      <w:r w:rsidRPr="0032308D">
        <w:rPr>
          <w:rFonts w:cstheme="minorHAnsi"/>
        </w:rPr>
        <w:fldChar w:fldCharType="begin"/>
      </w:r>
      <w:r w:rsidRPr="0032308D">
        <w:rPr>
          <w:rFonts w:cstheme="minorHAnsi"/>
        </w:rPr>
        <w:instrText xml:space="preserve"> SEQ Figur \* ARABIC </w:instrText>
      </w:r>
      <w:r w:rsidRPr="0032308D">
        <w:rPr>
          <w:rFonts w:cstheme="minorHAnsi"/>
        </w:rPr>
        <w:fldChar w:fldCharType="separate"/>
      </w:r>
      <w:r w:rsidR="00653E40">
        <w:rPr>
          <w:rFonts w:cstheme="minorHAnsi"/>
          <w:noProof/>
        </w:rPr>
        <w:t>1</w:t>
      </w:r>
      <w:r w:rsidRPr="0032308D">
        <w:rPr>
          <w:rFonts w:cstheme="minorHAnsi"/>
        </w:rPr>
        <w:fldChar w:fldCharType="end"/>
      </w:r>
      <w:r w:rsidRPr="0032308D">
        <w:rPr>
          <w:rFonts w:cstheme="minorHAnsi"/>
        </w:rPr>
        <w:t xml:space="preserve"> elforbruget er svagt faldende</w:t>
      </w:r>
    </w:p>
    <w:p w:rsidR="003B1B32" w:rsidRPr="0032308D" w:rsidRDefault="006C0A14" w:rsidP="006C0A14">
      <w:pPr>
        <w:rPr>
          <w:rFonts w:cstheme="minorHAnsi"/>
        </w:rPr>
      </w:pPr>
      <w:r w:rsidRPr="0032308D">
        <w:rPr>
          <w:rFonts w:cstheme="minorHAnsi"/>
        </w:rPr>
        <w:t>Som det ses er der generelt et faldende forbrug af el</w:t>
      </w:r>
      <w:r w:rsidR="00CB224A">
        <w:rPr>
          <w:rFonts w:cstheme="minorHAnsi"/>
        </w:rPr>
        <w:t xml:space="preserve">. </w:t>
      </w:r>
      <w:r w:rsidR="002A5305" w:rsidRPr="0032308D">
        <w:rPr>
          <w:rFonts w:cstheme="minorHAnsi"/>
        </w:rPr>
        <w:t xml:space="preserve"> </w:t>
      </w:r>
      <w:r w:rsidR="00CB224A">
        <w:rPr>
          <w:rFonts w:cstheme="minorHAnsi"/>
        </w:rPr>
        <w:t>F</w:t>
      </w:r>
      <w:r w:rsidR="00CB224A" w:rsidRPr="0032308D">
        <w:rPr>
          <w:rFonts w:cstheme="minorHAnsi"/>
        </w:rPr>
        <w:t>ra 2012 til 2013</w:t>
      </w:r>
      <w:r w:rsidR="00CB224A">
        <w:rPr>
          <w:rFonts w:cstheme="minorHAnsi"/>
        </w:rPr>
        <w:t xml:space="preserve"> på 3</w:t>
      </w:r>
      <w:r w:rsidR="002A5305" w:rsidRPr="0032308D">
        <w:rPr>
          <w:rFonts w:cstheme="minorHAnsi"/>
        </w:rPr>
        <w:t>,5 procent</w:t>
      </w:r>
      <w:r w:rsidR="003B1B32" w:rsidRPr="0032308D">
        <w:rPr>
          <w:rFonts w:cstheme="minorHAnsi"/>
        </w:rPr>
        <w:t xml:space="preserve">. </w:t>
      </w:r>
      <w:r w:rsidR="002A5305" w:rsidRPr="0032308D">
        <w:rPr>
          <w:rFonts w:cstheme="minorHAnsi"/>
        </w:rPr>
        <w:t>E</w:t>
      </w:r>
      <w:r w:rsidR="003B1B32" w:rsidRPr="0032308D">
        <w:rPr>
          <w:rFonts w:cstheme="minorHAnsi"/>
        </w:rPr>
        <w:t xml:space="preserve">lforbrug og </w:t>
      </w:r>
      <w:r w:rsidR="00F74FD5" w:rsidRPr="0032308D">
        <w:rPr>
          <w:rFonts w:cstheme="minorHAnsi"/>
        </w:rPr>
        <w:t>CO2 emissioner</w:t>
      </w:r>
      <w:r w:rsidR="002A5305" w:rsidRPr="0032308D">
        <w:rPr>
          <w:rFonts w:cstheme="minorHAnsi"/>
        </w:rPr>
        <w:t xml:space="preserve"> er</w:t>
      </w:r>
      <w:r w:rsidR="00F74FD5" w:rsidRPr="0032308D">
        <w:rPr>
          <w:rFonts w:cstheme="minorHAnsi"/>
        </w:rPr>
        <w:t xml:space="preserve"> </w:t>
      </w:r>
      <w:r w:rsidR="002A5305" w:rsidRPr="0032308D">
        <w:rPr>
          <w:rFonts w:cstheme="minorHAnsi"/>
        </w:rPr>
        <w:t xml:space="preserve">ikke </w:t>
      </w:r>
      <w:r w:rsidR="003B1B32" w:rsidRPr="0032308D">
        <w:rPr>
          <w:rFonts w:cstheme="minorHAnsi"/>
        </w:rPr>
        <w:t>proportionale fra år til år. Det skyldes opgørelser af CO2 emissioner per kWh el</w:t>
      </w:r>
      <w:r w:rsidR="00DD2B2F">
        <w:rPr>
          <w:rFonts w:cstheme="minorHAnsi"/>
        </w:rPr>
        <w:t xml:space="preserve"> i det samlede danske energisystem</w:t>
      </w:r>
      <w:r w:rsidR="003B1B32" w:rsidRPr="0032308D">
        <w:rPr>
          <w:rFonts w:cstheme="minorHAnsi"/>
        </w:rPr>
        <w:t xml:space="preserve">, </w:t>
      </w:r>
      <w:r w:rsidR="00DD2B2F" w:rsidRPr="0032308D">
        <w:rPr>
          <w:rFonts w:cstheme="minorHAnsi"/>
        </w:rPr>
        <w:t xml:space="preserve">varierer </w:t>
      </w:r>
      <w:r w:rsidR="003B1B32" w:rsidRPr="0032308D">
        <w:rPr>
          <w:rFonts w:cstheme="minorHAnsi"/>
        </w:rPr>
        <w:t xml:space="preserve">fra år til år. </w:t>
      </w:r>
      <w:r w:rsidRPr="0032308D">
        <w:rPr>
          <w:rFonts w:cstheme="minorHAnsi"/>
        </w:rPr>
        <w:t xml:space="preserve"> </w:t>
      </w:r>
    </w:p>
    <w:p w:rsidR="00D17181" w:rsidRPr="0032308D" w:rsidRDefault="003B1B32" w:rsidP="00D17181">
      <w:pPr>
        <w:keepNext/>
        <w:jc w:val="center"/>
        <w:rPr>
          <w:rFonts w:cstheme="minorHAnsi"/>
        </w:rPr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2E87D973" wp14:editId="2CADD94F">
            <wp:extent cx="4320000" cy="1800000"/>
            <wp:effectExtent l="0" t="0" r="23495" b="1016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C05" w:rsidRPr="0032308D" w:rsidRDefault="00D17181" w:rsidP="00D17181">
      <w:pPr>
        <w:pStyle w:val="Billedtekst"/>
        <w:jc w:val="center"/>
        <w:rPr>
          <w:rFonts w:cstheme="minorHAnsi"/>
        </w:rPr>
      </w:pPr>
      <w:r w:rsidRPr="0032308D">
        <w:rPr>
          <w:rFonts w:cstheme="minorHAnsi"/>
        </w:rPr>
        <w:t xml:space="preserve">Figur </w:t>
      </w:r>
      <w:r w:rsidRPr="0032308D">
        <w:rPr>
          <w:rFonts w:cstheme="minorHAnsi"/>
        </w:rPr>
        <w:fldChar w:fldCharType="begin"/>
      </w:r>
      <w:r w:rsidRPr="0032308D">
        <w:rPr>
          <w:rFonts w:cstheme="minorHAnsi"/>
        </w:rPr>
        <w:instrText xml:space="preserve"> SEQ Figur \* ARABIC </w:instrText>
      </w:r>
      <w:r w:rsidRPr="0032308D">
        <w:rPr>
          <w:rFonts w:cstheme="minorHAnsi"/>
        </w:rPr>
        <w:fldChar w:fldCharType="separate"/>
      </w:r>
      <w:r w:rsidR="00653E40">
        <w:rPr>
          <w:rFonts w:cstheme="minorHAnsi"/>
          <w:noProof/>
        </w:rPr>
        <w:t>2</w:t>
      </w:r>
      <w:r w:rsidRPr="0032308D">
        <w:rPr>
          <w:rFonts w:cstheme="minorHAnsi"/>
        </w:rPr>
        <w:fldChar w:fldCharType="end"/>
      </w:r>
      <w:r w:rsidRPr="0032308D">
        <w:rPr>
          <w:rFonts w:cstheme="minorHAnsi"/>
        </w:rPr>
        <w:t xml:space="preserve"> En generel faldende CO2 udledning. Dette er udtryk for mindre kul og mere vind i det danske energisystem</w:t>
      </w:r>
    </w:p>
    <w:p w:rsidR="00F74FD5" w:rsidRPr="0032308D" w:rsidRDefault="003B1B32" w:rsidP="006C0A14">
      <w:pPr>
        <w:rPr>
          <w:rFonts w:cstheme="minorHAnsi"/>
        </w:rPr>
      </w:pPr>
      <w:r w:rsidRPr="0032308D">
        <w:rPr>
          <w:rFonts w:cstheme="minorHAnsi"/>
        </w:rPr>
        <w:t xml:space="preserve">Eksempelvis ses det at der fra 2012 til 2013 er en stigning på omkring 20 %, om end elforbruget er faldet. </w:t>
      </w:r>
      <w:r w:rsidR="00513407" w:rsidRPr="0032308D">
        <w:rPr>
          <w:rFonts w:cstheme="minorHAnsi"/>
        </w:rPr>
        <w:t xml:space="preserve">Beregningsforudsætninger for CO2 er fra </w:t>
      </w:r>
      <w:r w:rsidR="00F74FD5" w:rsidRPr="0032308D">
        <w:rPr>
          <w:rFonts w:cstheme="minorHAnsi"/>
        </w:rPr>
        <w:t xml:space="preserve">energinets miljødeklarationer: </w:t>
      </w:r>
      <w:hyperlink r:id="rId11" w:history="1">
        <w:r w:rsidR="00513407" w:rsidRPr="0032308D">
          <w:rPr>
            <w:rStyle w:val="Hyperlink"/>
            <w:rFonts w:cstheme="minorHAnsi"/>
          </w:rPr>
          <w:t>http://energinet.dk/DA/KLIMA-OG-</w:t>
        </w:r>
        <w:r w:rsidR="00513407" w:rsidRPr="0032308D">
          <w:rPr>
            <w:rStyle w:val="Hyperlink"/>
            <w:rFonts w:cstheme="minorHAnsi"/>
          </w:rPr>
          <w:lastRenderedPageBreak/>
          <w:t>MILJOE/Miljoedeklarationer/Sider/Miljoedeklarering-af-1-kWh-el.aspx</w:t>
        </w:r>
      </w:hyperlink>
      <w:r w:rsidR="00513407" w:rsidRPr="0032308D">
        <w:rPr>
          <w:rFonts w:cstheme="minorHAnsi"/>
        </w:rPr>
        <w:t xml:space="preserve"> </w:t>
      </w:r>
      <w:r w:rsidR="00F74FD5" w:rsidRPr="0032308D">
        <w:rPr>
          <w:rFonts w:cstheme="minorHAnsi"/>
        </w:rPr>
        <w:t xml:space="preserve">Det er 125 % metoden, der er anvendt. </w:t>
      </w:r>
    </w:p>
    <w:p w:rsidR="003B1B32" w:rsidRPr="0032308D" w:rsidRDefault="0053388B" w:rsidP="006E0BD5">
      <w:pPr>
        <w:pStyle w:val="Undertitel"/>
        <w:numPr>
          <w:ilvl w:val="0"/>
          <w:numId w:val="2"/>
        </w:numPr>
        <w:rPr>
          <w:rFonts w:asciiTheme="minorHAnsi" w:hAnsiTheme="minorHAnsi" w:cstheme="minorHAnsi"/>
        </w:rPr>
      </w:pPr>
      <w:r w:rsidRPr="0032308D">
        <w:rPr>
          <w:rFonts w:asciiTheme="minorHAnsi" w:hAnsiTheme="minorHAnsi" w:cstheme="minorHAnsi"/>
          <w:b/>
        </w:rPr>
        <w:t>Det samlede varmeforbrug.</w:t>
      </w:r>
    </w:p>
    <w:p w:rsidR="00F74FD5" w:rsidRPr="0032308D" w:rsidRDefault="009D74E3" w:rsidP="006C0A14">
      <w:pPr>
        <w:rPr>
          <w:rFonts w:cstheme="minorHAnsi"/>
          <w:b/>
        </w:rPr>
      </w:pPr>
      <w:r w:rsidRPr="0032308D">
        <w:rPr>
          <w:rFonts w:cstheme="minorHAnsi"/>
          <w:b/>
        </w:rPr>
        <w:t>Varmeforbrug</w:t>
      </w:r>
      <w:r w:rsidR="00D513C2" w:rsidRPr="0032308D">
        <w:rPr>
          <w:rFonts w:cstheme="minorHAnsi"/>
          <w:b/>
        </w:rPr>
        <w:t xml:space="preserve"> til de kommunale bygninger</w:t>
      </w:r>
    </w:p>
    <w:p w:rsidR="00FF4C05" w:rsidRPr="0032308D" w:rsidRDefault="003668CB" w:rsidP="00FF4C05">
      <w:pPr>
        <w:keepNext/>
        <w:jc w:val="center"/>
        <w:rPr>
          <w:rFonts w:cstheme="minorHAnsi"/>
        </w:rPr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24767EF2" wp14:editId="70F0DC2F">
            <wp:extent cx="4327200" cy="1800000"/>
            <wp:effectExtent l="0" t="0" r="16510" b="10160"/>
            <wp:docPr id="8" name="Diagram 8" title="fyringsolie forbru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1B32" w:rsidRPr="0032308D" w:rsidRDefault="00FF4C05" w:rsidP="00FF4C05">
      <w:pPr>
        <w:pStyle w:val="Billedtekst"/>
        <w:jc w:val="center"/>
        <w:rPr>
          <w:rFonts w:cstheme="minorHAnsi"/>
          <w:b w:val="0"/>
        </w:rPr>
      </w:pPr>
      <w:r w:rsidRPr="0032308D">
        <w:rPr>
          <w:rFonts w:cstheme="minorHAnsi"/>
        </w:rPr>
        <w:t xml:space="preserve">Figur </w:t>
      </w:r>
      <w:r w:rsidR="00DD2B2F">
        <w:rPr>
          <w:rFonts w:cstheme="minorHAnsi"/>
        </w:rPr>
        <w:t>3</w:t>
      </w:r>
      <w:r w:rsidR="006E0BD5" w:rsidRPr="0032308D">
        <w:rPr>
          <w:rFonts w:cstheme="minorHAnsi"/>
          <w:noProof/>
        </w:rPr>
        <w:t xml:space="preserve"> Fyringsolie bliver kun anvendt i to kommunale bygninger</w:t>
      </w:r>
    </w:p>
    <w:p w:rsidR="003B1B32" w:rsidRPr="0032308D" w:rsidRDefault="003B1B32" w:rsidP="006C0A14">
      <w:pPr>
        <w:rPr>
          <w:rFonts w:cstheme="minorHAnsi"/>
        </w:rPr>
      </w:pPr>
      <w:r w:rsidRPr="0032308D">
        <w:rPr>
          <w:rFonts w:cstheme="minorHAnsi"/>
        </w:rPr>
        <w:t>Ift. fyringsolie er CO2 udledningen</w:t>
      </w:r>
      <w:r w:rsidR="00023CB4" w:rsidRPr="0032308D">
        <w:rPr>
          <w:rFonts w:cstheme="minorHAnsi"/>
        </w:rPr>
        <w:t xml:space="preserve"> per enhed</w:t>
      </w:r>
      <w:r w:rsidR="003668CB" w:rsidRPr="0032308D">
        <w:rPr>
          <w:rFonts w:cstheme="minorHAnsi"/>
        </w:rPr>
        <w:t xml:space="preserve"> konstant</w:t>
      </w:r>
      <w:r w:rsidRPr="0032308D">
        <w:rPr>
          <w:rFonts w:cstheme="minorHAnsi"/>
        </w:rPr>
        <w:t xml:space="preserve"> fra år til år, hvilke</w:t>
      </w:r>
      <w:r w:rsidR="003668CB" w:rsidRPr="0032308D">
        <w:rPr>
          <w:rFonts w:cstheme="minorHAnsi"/>
        </w:rPr>
        <w:t>t er 2,65 kg/l. Der har været reduceret forbrug på 43 procent fra</w:t>
      </w:r>
      <w:r w:rsidRPr="0032308D">
        <w:rPr>
          <w:rFonts w:cstheme="minorHAnsi"/>
        </w:rPr>
        <w:t xml:space="preserve"> år 2012 til 2013</w:t>
      </w:r>
      <w:r w:rsidR="003668CB" w:rsidRPr="0032308D">
        <w:rPr>
          <w:rFonts w:cstheme="minorHAnsi"/>
        </w:rPr>
        <w:t xml:space="preserve">. </w:t>
      </w:r>
      <w:r w:rsidR="00FF4C05" w:rsidRPr="0032308D">
        <w:rPr>
          <w:rFonts w:cstheme="minorHAnsi"/>
        </w:rPr>
        <w:t xml:space="preserve">Det er en CO2 reduktion på 4,5 tons. </w:t>
      </w:r>
      <w:r w:rsidR="00023CB4" w:rsidRPr="0032308D">
        <w:rPr>
          <w:rFonts w:cstheme="minorHAnsi"/>
        </w:rPr>
        <w:t>Der er anvendt forudsætninger</w:t>
      </w:r>
      <w:r w:rsidRPr="0032308D">
        <w:rPr>
          <w:rFonts w:cstheme="minorHAnsi"/>
        </w:rPr>
        <w:t xml:space="preserve"> fra </w:t>
      </w:r>
      <w:hyperlink r:id="rId13" w:history="1">
        <w:r w:rsidRPr="0032308D">
          <w:rPr>
            <w:rStyle w:val="Hyperlink"/>
            <w:rFonts w:cstheme="minorHAnsi"/>
          </w:rPr>
          <w:t>http://www.key2green.dk/n%C3%B8gletal-fyringsolie-tr%C3%A6-og-halm</w:t>
        </w:r>
      </w:hyperlink>
      <w:r w:rsidRPr="0032308D">
        <w:rPr>
          <w:rFonts w:cstheme="minorHAnsi"/>
        </w:rPr>
        <w:t xml:space="preserve"> </w:t>
      </w:r>
    </w:p>
    <w:p w:rsidR="003B1B32" w:rsidRPr="0032308D" w:rsidRDefault="003B1B32" w:rsidP="006C0A14">
      <w:pPr>
        <w:rPr>
          <w:rFonts w:cstheme="minorHAnsi"/>
        </w:rPr>
      </w:pPr>
      <w:r w:rsidRPr="0032308D">
        <w:rPr>
          <w:rFonts w:cstheme="minorHAnsi"/>
        </w:rPr>
        <w:t>Det resterende varmeforbrug er</w:t>
      </w:r>
      <w:r w:rsidR="00FF4C05" w:rsidRPr="0032308D">
        <w:rPr>
          <w:rFonts w:cstheme="minorHAnsi"/>
        </w:rPr>
        <w:t xml:space="preserve"> dels</w:t>
      </w:r>
      <w:r w:rsidRPr="0032308D">
        <w:rPr>
          <w:rFonts w:cstheme="minorHAnsi"/>
        </w:rPr>
        <w:t xml:space="preserve"> dækket af biomassefyret fjernvarme</w:t>
      </w:r>
      <w:r w:rsidR="00023CB4" w:rsidRPr="0032308D">
        <w:rPr>
          <w:rFonts w:cstheme="minorHAnsi"/>
        </w:rPr>
        <w:t>, hvilket antages at være CO2 neutralt</w:t>
      </w:r>
      <w:r w:rsidR="00FF4C05" w:rsidRPr="0032308D">
        <w:rPr>
          <w:rFonts w:cstheme="minorHAnsi"/>
        </w:rPr>
        <w:t xml:space="preserve"> samt eldrevne varmepumper</w:t>
      </w:r>
      <w:r w:rsidR="00023CB4" w:rsidRPr="0032308D">
        <w:rPr>
          <w:rFonts w:cstheme="minorHAnsi"/>
        </w:rPr>
        <w:t>.</w:t>
      </w:r>
      <w:r w:rsidRPr="0032308D">
        <w:rPr>
          <w:rFonts w:cstheme="minorHAnsi"/>
        </w:rPr>
        <w:t xml:space="preserve"> </w:t>
      </w:r>
    </w:p>
    <w:p w:rsidR="00D513C2" w:rsidRPr="00DD2B2F" w:rsidRDefault="00DD2B2F" w:rsidP="00DD2B2F">
      <w:pPr>
        <w:pStyle w:val="Undertitel"/>
        <w:numPr>
          <w:ilvl w:val="0"/>
          <w:numId w:val="2"/>
        </w:numPr>
        <w:rPr>
          <w:b/>
        </w:rPr>
      </w:pPr>
      <w:r>
        <w:rPr>
          <w:b/>
        </w:rPr>
        <w:t>Det samlede energif</w:t>
      </w:r>
      <w:r w:rsidR="00D513C2" w:rsidRPr="00DD2B2F">
        <w:rPr>
          <w:b/>
        </w:rPr>
        <w:t>o</w:t>
      </w:r>
      <w:r>
        <w:rPr>
          <w:b/>
        </w:rPr>
        <w:t>r</w:t>
      </w:r>
      <w:r w:rsidR="00D513C2" w:rsidRPr="00DD2B2F">
        <w:rPr>
          <w:b/>
        </w:rPr>
        <w:t>brug til transport</w:t>
      </w:r>
    </w:p>
    <w:p w:rsidR="003B1B32" w:rsidRPr="0032308D" w:rsidRDefault="003B1B32" w:rsidP="006C0A14">
      <w:pPr>
        <w:rPr>
          <w:rFonts w:cstheme="minorHAnsi"/>
          <w:b/>
        </w:rPr>
      </w:pPr>
      <w:r w:rsidRPr="0032308D">
        <w:rPr>
          <w:rFonts w:cstheme="minorHAnsi"/>
          <w:b/>
        </w:rPr>
        <w:t>Transport</w:t>
      </w:r>
      <w:r w:rsidR="007562A9" w:rsidRPr="0032308D">
        <w:rPr>
          <w:rFonts w:cstheme="minorHAnsi"/>
          <w:b/>
        </w:rPr>
        <w:t xml:space="preserve"> dækker kommunalejede biler og privatbiler der bruges i kommunalt regi</w:t>
      </w:r>
    </w:p>
    <w:p w:rsidR="00B46183" w:rsidRPr="0032308D" w:rsidRDefault="009D1CC8" w:rsidP="00B46183">
      <w:pPr>
        <w:keepNext/>
        <w:jc w:val="center"/>
        <w:rPr>
          <w:rFonts w:cstheme="minorHAnsi"/>
        </w:rPr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633BE1D8" wp14:editId="0B541588">
            <wp:extent cx="4320000" cy="1800000"/>
            <wp:effectExtent l="0" t="0" r="23495" b="1016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E1A" w:rsidRPr="00052DF4" w:rsidRDefault="00B46183" w:rsidP="00052DF4">
      <w:pPr>
        <w:pStyle w:val="Billedtekst"/>
        <w:jc w:val="center"/>
        <w:rPr>
          <w:rFonts w:cstheme="minorHAnsi"/>
        </w:rPr>
      </w:pPr>
      <w:r w:rsidRPr="0032308D">
        <w:rPr>
          <w:rFonts w:cstheme="minorHAnsi"/>
        </w:rPr>
        <w:t xml:space="preserve">Figur </w:t>
      </w:r>
      <w:r w:rsidR="00053525">
        <w:rPr>
          <w:rFonts w:cstheme="minorHAnsi"/>
        </w:rPr>
        <w:t>4</w:t>
      </w:r>
      <w:r w:rsidRPr="0032308D">
        <w:rPr>
          <w:rFonts w:cstheme="minorHAnsi"/>
        </w:rPr>
        <w:t xml:space="preserve"> Der har været en stigning i benzin og diesel forbrug målt i liter på samlet 115 % fra 2012 til </w:t>
      </w:r>
      <w:r w:rsidR="00D45182">
        <w:rPr>
          <w:rFonts w:cstheme="minorHAnsi"/>
        </w:rPr>
        <w:t xml:space="preserve">2013. Denne stigning skyldes </w:t>
      </w:r>
      <w:r w:rsidRPr="0032308D">
        <w:rPr>
          <w:rFonts w:cstheme="minorHAnsi"/>
        </w:rPr>
        <w:t>at brændstofforbrug</w:t>
      </w:r>
      <w:r w:rsidR="00D45182">
        <w:rPr>
          <w:rFonts w:cstheme="minorHAnsi"/>
        </w:rPr>
        <w:t xml:space="preserve"> fra</w:t>
      </w:r>
      <w:r w:rsidR="00052DF4">
        <w:rPr>
          <w:rFonts w:cstheme="minorHAnsi"/>
        </w:rPr>
        <w:t xml:space="preserve"> køretøjer ved de </w:t>
      </w:r>
      <w:r w:rsidRPr="0032308D">
        <w:rPr>
          <w:rFonts w:cstheme="minorHAnsi"/>
        </w:rPr>
        <w:t xml:space="preserve">kommunale havne </w:t>
      </w:r>
      <w:r w:rsidR="00D45182">
        <w:rPr>
          <w:rFonts w:cstheme="minorHAnsi"/>
        </w:rPr>
        <w:t>og f</w:t>
      </w:r>
      <w:r w:rsidR="00052DF4">
        <w:rPr>
          <w:rFonts w:cstheme="minorHAnsi"/>
        </w:rPr>
        <w:t xml:space="preserve">ra entreprenørmaskiner </w:t>
      </w:r>
      <w:r w:rsidRPr="0032308D">
        <w:rPr>
          <w:rFonts w:cstheme="minorHAnsi"/>
        </w:rPr>
        <w:t>ikke har været medregnet før.</w:t>
      </w:r>
    </w:p>
    <w:p w:rsidR="00052DF4" w:rsidRDefault="00DC0E1A" w:rsidP="00052DF4">
      <w:pPr>
        <w:tabs>
          <w:tab w:val="left" w:pos="3274"/>
        </w:tabs>
        <w:rPr>
          <w:rFonts w:cstheme="minorHAnsi"/>
        </w:rPr>
      </w:pPr>
      <w:r w:rsidRPr="0032308D">
        <w:rPr>
          <w:rFonts w:cstheme="minorHAnsi"/>
        </w:rPr>
        <w:t xml:space="preserve">På figuren ses det at der er opgjort diesel og benzin forbrug. Kørsel i egen bil er allokeret med 50% diesel og 50% benzin. Kommunens 8 elbiler er kommet med fra 2012 og er opgjort </w:t>
      </w:r>
      <w:proofErr w:type="spellStart"/>
      <w:r w:rsidRPr="0032308D">
        <w:rPr>
          <w:rFonts w:cstheme="minorHAnsi"/>
        </w:rPr>
        <w:t>ift</w:t>
      </w:r>
      <w:proofErr w:type="spellEnd"/>
      <w:r w:rsidRPr="0032308D">
        <w:rPr>
          <w:rFonts w:cstheme="minorHAnsi"/>
        </w:rPr>
        <w:t xml:space="preserve"> kørte kilometer hhv. 160.000 km i 2012 og 150</w:t>
      </w:r>
      <w:r w:rsidR="008606BE" w:rsidRPr="0032308D">
        <w:rPr>
          <w:rFonts w:cstheme="minorHAnsi"/>
        </w:rPr>
        <w:t>.</w:t>
      </w:r>
      <w:r w:rsidRPr="0032308D">
        <w:rPr>
          <w:rFonts w:cstheme="minorHAnsi"/>
        </w:rPr>
        <w:t>000 km i 2</w:t>
      </w:r>
      <w:r w:rsidR="0032308D" w:rsidRPr="0032308D">
        <w:rPr>
          <w:rFonts w:cstheme="minorHAnsi"/>
        </w:rPr>
        <w:t>013. E</w:t>
      </w:r>
      <w:r w:rsidR="0030203C" w:rsidRPr="0032308D">
        <w:rPr>
          <w:rFonts w:cstheme="minorHAnsi"/>
        </w:rPr>
        <w:t xml:space="preserve">lbilernes CO2 udledning er allokeret ud fra følgende kilde: </w:t>
      </w:r>
      <w:hyperlink r:id="rId15" w:history="1">
        <w:r w:rsidR="0030203C" w:rsidRPr="0032308D">
          <w:rPr>
            <w:rStyle w:val="Hyperlink"/>
            <w:rFonts w:cstheme="minorHAnsi"/>
          </w:rPr>
          <w:t>http://www.ea-energianalyse.dk/reports/1047_personbilers_co2_emissioner.pdf</w:t>
        </w:r>
      </w:hyperlink>
      <w:r w:rsidR="0030203C" w:rsidRPr="0032308D">
        <w:rPr>
          <w:rFonts w:cstheme="minorHAnsi"/>
        </w:rPr>
        <w:t xml:space="preserve"> </w:t>
      </w:r>
    </w:p>
    <w:p w:rsidR="003B1B32" w:rsidRPr="00052DF4" w:rsidRDefault="00E82E23" w:rsidP="00052DF4">
      <w:pPr>
        <w:pStyle w:val="Overskrift2"/>
      </w:pPr>
      <w:r w:rsidRPr="0032308D">
        <w:lastRenderedPageBreak/>
        <w:t>Konklusion</w:t>
      </w:r>
    </w:p>
    <w:p w:rsidR="00B675EA" w:rsidRPr="00053525" w:rsidRDefault="00DA0F37" w:rsidP="00BE365E">
      <w:pPr>
        <w:keepNext/>
        <w:rPr>
          <w:rFonts w:cstheme="minorHAnsi"/>
        </w:rPr>
      </w:pPr>
      <w:r w:rsidRPr="00053525">
        <w:rPr>
          <w:rFonts w:cstheme="minorHAnsi"/>
        </w:rPr>
        <w:t xml:space="preserve">Der har samlet været en øget CO2 udledning i 2013 </w:t>
      </w:r>
      <w:r w:rsidR="00E82E23" w:rsidRPr="00053525">
        <w:rPr>
          <w:rFonts w:cstheme="minorHAnsi"/>
        </w:rPr>
        <w:t xml:space="preserve">på </w:t>
      </w:r>
      <w:r w:rsidR="00F26C03" w:rsidRPr="00053525">
        <w:rPr>
          <w:rFonts w:cstheme="minorHAnsi"/>
        </w:rPr>
        <w:t>37,5 %</w:t>
      </w:r>
      <w:r w:rsidR="00450831" w:rsidRPr="00053525">
        <w:rPr>
          <w:rFonts w:cstheme="minorHAnsi"/>
        </w:rPr>
        <w:t xml:space="preserve"> </w:t>
      </w:r>
      <w:proofErr w:type="spellStart"/>
      <w:r w:rsidR="00450831" w:rsidRPr="00053525">
        <w:rPr>
          <w:rFonts w:cstheme="minorHAnsi"/>
        </w:rPr>
        <w:t>ift</w:t>
      </w:r>
      <w:proofErr w:type="spellEnd"/>
      <w:r w:rsidR="00450831" w:rsidRPr="00053525">
        <w:rPr>
          <w:rFonts w:cstheme="minorHAnsi"/>
        </w:rPr>
        <w:t xml:space="preserve"> 2012</w:t>
      </w:r>
      <w:r w:rsidRPr="00053525">
        <w:rPr>
          <w:rFonts w:cstheme="minorHAnsi"/>
        </w:rPr>
        <w:t xml:space="preserve">, hvis der regnes med årlig varierende CO2 </w:t>
      </w:r>
      <w:r w:rsidR="00AA1F7F" w:rsidRPr="00053525">
        <w:rPr>
          <w:rFonts w:cstheme="minorHAnsi"/>
        </w:rPr>
        <w:t>udledning</w:t>
      </w:r>
      <w:r w:rsidRPr="00053525">
        <w:rPr>
          <w:rFonts w:cstheme="minorHAnsi"/>
        </w:rPr>
        <w:t xml:space="preserve"> på el</w:t>
      </w:r>
      <w:r w:rsidR="00450831" w:rsidRPr="00053525">
        <w:rPr>
          <w:rFonts w:cstheme="minorHAnsi"/>
        </w:rPr>
        <w:t xml:space="preserve">. </w:t>
      </w:r>
      <w:r w:rsidR="002D1A83" w:rsidRPr="00053525">
        <w:rPr>
          <w:rFonts w:cstheme="minorHAnsi"/>
        </w:rPr>
        <w:t xml:space="preserve">Det er dog </w:t>
      </w:r>
      <w:r w:rsidR="00AA1F7F" w:rsidRPr="00053525">
        <w:rPr>
          <w:rFonts w:cstheme="minorHAnsi"/>
        </w:rPr>
        <w:t xml:space="preserve">sket et fald i elforbruget på 3,5 % fra 2012 til 2013. ved at regne med den sammen faktor for CO2 udledning på el, er der altså sket et fald i CO2 udledning ift. elforbrug. Dernæst er der etableret </w:t>
      </w:r>
      <w:r w:rsidR="00B675EA" w:rsidRPr="00053525">
        <w:rPr>
          <w:rFonts w:cstheme="minorHAnsi"/>
        </w:rPr>
        <w:t xml:space="preserve">flere solceller i 2013 frem for i 2012, hvilket fortrænger lidt mere CO2. </w:t>
      </w:r>
      <w:r w:rsidR="002D1A83" w:rsidRPr="00053525">
        <w:rPr>
          <w:rFonts w:cstheme="minorHAnsi"/>
        </w:rPr>
        <w:t xml:space="preserve"> </w:t>
      </w:r>
    </w:p>
    <w:p w:rsidR="00B75408" w:rsidRDefault="0030203C" w:rsidP="00B75408">
      <w:pPr>
        <w:keepNext/>
        <w:jc w:val="center"/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5F14F6D4" wp14:editId="424E0DF0">
            <wp:extent cx="4320000" cy="1800000"/>
            <wp:effectExtent l="0" t="0" r="23495" b="1016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C03" w:rsidRPr="0032308D" w:rsidRDefault="00B75408" w:rsidP="00B75408">
      <w:pPr>
        <w:pStyle w:val="Billedtekst"/>
        <w:jc w:val="center"/>
        <w:rPr>
          <w:rFonts w:cstheme="minorHAnsi"/>
        </w:rPr>
      </w:pPr>
      <w:r>
        <w:t xml:space="preserve">Figur </w:t>
      </w:r>
      <w:r w:rsidR="00053525">
        <w:t>5</w:t>
      </w:r>
      <w:r>
        <w:t xml:space="preserve"> </w:t>
      </w:r>
      <w:r w:rsidRPr="00236AAC">
        <w:t>Som det ses er der en relativ stor ændring i CO2 udledning fra 2012 til 2013 især ved elforbrug og transport.</w:t>
      </w:r>
    </w:p>
    <w:p w:rsidR="00367DB1" w:rsidRPr="0032308D" w:rsidRDefault="00B75408" w:rsidP="00367DB1">
      <w:pPr>
        <w:rPr>
          <w:rFonts w:cstheme="minorHAnsi"/>
        </w:rPr>
      </w:pPr>
      <w:r w:rsidRPr="0032308D">
        <w:rPr>
          <w:rFonts w:cstheme="minorHAnsi"/>
        </w:rPr>
        <w:t>Elforbruget har en stigning i CO2 udledning fra 288 g/kWh i 2012 til 358 g/kWh i 2013. Ved a</w:t>
      </w:r>
      <w:r w:rsidR="00C54E3F">
        <w:rPr>
          <w:rFonts w:cstheme="minorHAnsi"/>
        </w:rPr>
        <w:t xml:space="preserve">t korrigere for denne stigning er der jf. </w:t>
      </w:r>
      <w:r w:rsidRPr="0032308D">
        <w:rPr>
          <w:rFonts w:cstheme="minorHAnsi"/>
        </w:rPr>
        <w:t xml:space="preserve">figur </w:t>
      </w:r>
      <w:r w:rsidR="00C54E3F">
        <w:rPr>
          <w:rFonts w:cstheme="minorHAnsi"/>
        </w:rPr>
        <w:t>6</w:t>
      </w:r>
      <w:r w:rsidRPr="0032308D">
        <w:rPr>
          <w:rFonts w:cstheme="minorHAnsi"/>
        </w:rPr>
        <w:t xml:space="preserve"> et lille fald</w:t>
      </w:r>
      <w:r w:rsidR="00BF319A">
        <w:rPr>
          <w:rFonts w:cstheme="minorHAnsi"/>
        </w:rPr>
        <w:t>, på 3,5 %,</w:t>
      </w:r>
      <w:r w:rsidRPr="0032308D">
        <w:rPr>
          <w:rFonts w:cstheme="minorHAnsi"/>
        </w:rPr>
        <w:t xml:space="preserve"> i CO2 udledning fra 2012 til 2013.</w:t>
      </w:r>
      <w:r w:rsidR="00BF319A">
        <w:rPr>
          <w:rFonts w:cstheme="minorHAnsi"/>
        </w:rPr>
        <w:t xml:space="preserve"> Som nævnt er CO2 udledningen fra opvarmning faldet med 43 %, da opvarmning med biomasse antages at være CO2 neutral.</w:t>
      </w:r>
    </w:p>
    <w:p w:rsidR="00D87973" w:rsidRPr="0032308D" w:rsidRDefault="00D87973" w:rsidP="00D87973">
      <w:pPr>
        <w:keepNext/>
        <w:jc w:val="center"/>
        <w:rPr>
          <w:rFonts w:cstheme="minorHAnsi"/>
        </w:rPr>
      </w:pPr>
      <w:r w:rsidRPr="0032308D">
        <w:rPr>
          <w:rFonts w:cstheme="minorHAnsi"/>
          <w:noProof/>
          <w:lang w:eastAsia="da-DK"/>
        </w:rPr>
        <w:drawing>
          <wp:inline distT="0" distB="0" distL="0" distR="0" wp14:anchorId="35D382EA" wp14:editId="0E521BF0">
            <wp:extent cx="4320000" cy="1800000"/>
            <wp:effectExtent l="0" t="0" r="23495" b="1016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DB1" w:rsidRPr="0032308D" w:rsidRDefault="00D87973" w:rsidP="00D87973">
      <w:pPr>
        <w:pStyle w:val="Billedtekst"/>
        <w:jc w:val="center"/>
        <w:rPr>
          <w:rFonts w:cstheme="minorHAnsi"/>
        </w:rPr>
      </w:pPr>
      <w:r w:rsidRPr="0032308D">
        <w:rPr>
          <w:rFonts w:cstheme="minorHAnsi"/>
        </w:rPr>
        <w:t xml:space="preserve">Figur </w:t>
      </w:r>
      <w:r w:rsidR="00FE3A15" w:rsidRPr="0032308D">
        <w:rPr>
          <w:rFonts w:cstheme="minorHAnsi"/>
        </w:rPr>
        <w:fldChar w:fldCharType="begin"/>
      </w:r>
      <w:r w:rsidR="00FE3A15" w:rsidRPr="0032308D">
        <w:rPr>
          <w:rFonts w:cstheme="minorHAnsi"/>
        </w:rPr>
        <w:instrText xml:space="preserve"> SEQ Figur \* ARABIC </w:instrText>
      </w:r>
      <w:r w:rsidR="00FE3A15" w:rsidRPr="0032308D">
        <w:rPr>
          <w:rFonts w:cstheme="minorHAnsi"/>
        </w:rPr>
        <w:fldChar w:fldCharType="separate"/>
      </w:r>
      <w:r w:rsidR="00653E40">
        <w:rPr>
          <w:rFonts w:cstheme="minorHAnsi"/>
          <w:noProof/>
        </w:rPr>
        <w:t>3</w:t>
      </w:r>
      <w:r w:rsidR="00FE3A15" w:rsidRPr="0032308D">
        <w:rPr>
          <w:rFonts w:cstheme="minorHAnsi"/>
          <w:noProof/>
        </w:rPr>
        <w:fldChar w:fldCharType="end"/>
      </w:r>
      <w:r w:rsidRPr="0032308D">
        <w:rPr>
          <w:rFonts w:cstheme="minorHAnsi"/>
        </w:rPr>
        <w:t xml:space="preserve"> her ses det at CO2 udledningen er faldende fra kommunens elforbrug. Det er et fald på 3,5%. Der er en øget CO2 udledning fra transporten på </w:t>
      </w:r>
      <w:r w:rsidR="00F31DB1" w:rsidRPr="0032308D">
        <w:rPr>
          <w:rFonts w:cstheme="minorHAnsi"/>
        </w:rPr>
        <w:t>87 %. Dette skyldes et forbedret datagrundlag.</w:t>
      </w:r>
    </w:p>
    <w:tbl>
      <w:tblPr>
        <w:tblpPr w:leftFromText="141" w:rightFromText="141" w:vertAnchor="text" w:horzAnchor="margin" w:tblpXSpec="right" w:tblpY="583"/>
        <w:tblW w:w="4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44"/>
        <w:gridCol w:w="245"/>
        <w:gridCol w:w="1009"/>
        <w:gridCol w:w="1030"/>
      </w:tblGrid>
      <w:tr w:rsidR="00230B8F" w:rsidRPr="00230B8F" w:rsidTr="00230B8F">
        <w:trPr>
          <w:trHeight w:val="154"/>
        </w:trPr>
        <w:tc>
          <w:tcPr>
            <w:tcW w:w="4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48A5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Ved fortrængning på 2013 niveau (358 g/kWh)</w:t>
            </w:r>
          </w:p>
        </w:tc>
      </w:tr>
      <w:tr w:rsidR="00230B8F" w:rsidRPr="00230B8F" w:rsidTr="00230B8F">
        <w:trPr>
          <w:trHeight w:val="154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CO2 udledning i tons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A5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30B8F" w:rsidRPr="00230B8F" w:rsidTr="00230B8F">
        <w:trPr>
          <w:trHeight w:val="154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</w:tr>
      <w:tr w:rsidR="00230B8F" w:rsidRPr="00230B8F" w:rsidTr="00230B8F">
        <w:trPr>
          <w:trHeight w:val="154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Transport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168</w:t>
            </w:r>
          </w:p>
        </w:tc>
      </w:tr>
      <w:tr w:rsidR="00230B8F" w:rsidRPr="00230B8F" w:rsidTr="00230B8F">
        <w:trPr>
          <w:trHeight w:val="154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El (358 g/kWh)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237</w:t>
            </w:r>
          </w:p>
        </w:tc>
      </w:tr>
      <w:tr w:rsidR="00230B8F" w:rsidRPr="00230B8F" w:rsidTr="00230B8F">
        <w:trPr>
          <w:trHeight w:val="154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VE-</w:t>
            </w:r>
            <w:proofErr w:type="spellStart"/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elproduktion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-11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-12</w:t>
            </w:r>
          </w:p>
        </w:tc>
      </w:tr>
      <w:tr w:rsidR="00230B8F" w:rsidRPr="00230B8F" w:rsidTr="00230B8F">
        <w:trPr>
          <w:trHeight w:val="154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Fyringsolie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230B8F" w:rsidRPr="00230B8F" w:rsidTr="00230B8F">
        <w:trPr>
          <w:trHeight w:val="154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30B8F" w:rsidRPr="00230B8F" w:rsidTr="00230B8F">
        <w:trPr>
          <w:trHeight w:val="161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Samlet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30B8F" w:rsidRPr="00230B8F" w:rsidRDefault="00230B8F" w:rsidP="00230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30B8F">
              <w:rPr>
                <w:rFonts w:ascii="Calibri" w:eastAsia="Times New Roman" w:hAnsi="Calibri" w:cs="Calibri"/>
                <w:color w:val="000000"/>
                <w:lang w:eastAsia="da-DK"/>
              </w:rPr>
              <w:t>231</w:t>
            </w:r>
          </w:p>
        </w:tc>
      </w:tr>
    </w:tbl>
    <w:p w:rsidR="00230B8F" w:rsidRDefault="00230B8F" w:rsidP="00BE365E">
      <w:pPr>
        <w:rPr>
          <w:rFonts w:cstheme="minorHAnsi"/>
        </w:rPr>
      </w:pPr>
    </w:p>
    <w:p w:rsidR="00391063" w:rsidRDefault="00BF319A" w:rsidP="00BE365E">
      <w:pPr>
        <w:rPr>
          <w:rFonts w:cstheme="minorHAnsi"/>
        </w:rPr>
      </w:pPr>
      <w:r>
        <w:rPr>
          <w:rFonts w:cstheme="minorHAnsi"/>
        </w:rPr>
        <w:t>Begrundet med</w:t>
      </w:r>
      <w:r w:rsidR="00391063" w:rsidRPr="0032308D">
        <w:rPr>
          <w:rFonts w:cstheme="minorHAnsi"/>
        </w:rPr>
        <w:t xml:space="preserve"> det forbedrede datagrundlag er der sket en stigning i CO2 udledning på samlet 19 procent. </w:t>
      </w:r>
      <w:r w:rsidR="005628D3" w:rsidRPr="0032308D">
        <w:rPr>
          <w:rFonts w:cstheme="minorHAnsi"/>
        </w:rPr>
        <w:t>Hvis der afgrænses fra tranport er der sket et fald på 6 %, hvilket stemmer over ens med de energirenoveringstiltag der har været i 2013.</w:t>
      </w:r>
      <w:r w:rsidR="00230B8F">
        <w:rPr>
          <w:rFonts w:cstheme="minorHAnsi"/>
        </w:rPr>
        <w:t xml:space="preserve"> </w:t>
      </w:r>
      <w:r w:rsidR="005628D3" w:rsidRPr="0032308D">
        <w:rPr>
          <w:rFonts w:cstheme="minorHAnsi"/>
        </w:rPr>
        <w:t xml:space="preserve"> </w:t>
      </w:r>
    </w:p>
    <w:p w:rsidR="00ED379E" w:rsidRPr="0032308D" w:rsidRDefault="00ED379E" w:rsidP="00BE365E">
      <w:pPr>
        <w:rPr>
          <w:rFonts w:cstheme="minorHAnsi"/>
        </w:rPr>
      </w:pPr>
    </w:p>
    <w:sectPr w:rsidR="00ED379E" w:rsidRPr="0032308D">
      <w:head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8F" w:rsidRDefault="00230B8F" w:rsidP="0053388B">
      <w:pPr>
        <w:spacing w:after="0" w:line="240" w:lineRule="auto"/>
      </w:pPr>
      <w:r>
        <w:separator/>
      </w:r>
    </w:p>
  </w:endnote>
  <w:endnote w:type="continuationSeparator" w:id="0">
    <w:p w:rsidR="00230B8F" w:rsidRDefault="00230B8F" w:rsidP="0053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8F" w:rsidRDefault="00230B8F" w:rsidP="0053388B">
      <w:pPr>
        <w:spacing w:after="0" w:line="240" w:lineRule="auto"/>
      </w:pPr>
      <w:r>
        <w:separator/>
      </w:r>
    </w:p>
  </w:footnote>
  <w:footnote w:type="continuationSeparator" w:id="0">
    <w:p w:rsidR="00230B8F" w:rsidRDefault="00230B8F" w:rsidP="0053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8F" w:rsidRDefault="00230B8F">
    <w:pPr>
      <w:pStyle w:val="Sidehoved"/>
    </w:pPr>
    <w:r>
      <w:t>Klimakommune, opgørelse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6C"/>
    <w:multiLevelType w:val="hybridMultilevel"/>
    <w:tmpl w:val="F48A1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63E5F"/>
    <w:multiLevelType w:val="hybridMultilevel"/>
    <w:tmpl w:val="B46619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50F5D"/>
    <w:multiLevelType w:val="hybridMultilevel"/>
    <w:tmpl w:val="B46619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0"/>
    <w:rsid w:val="00005D9A"/>
    <w:rsid w:val="000174A7"/>
    <w:rsid w:val="00023CB4"/>
    <w:rsid w:val="000325EE"/>
    <w:rsid w:val="00035526"/>
    <w:rsid w:val="0004728F"/>
    <w:rsid w:val="00052DF4"/>
    <w:rsid w:val="00053525"/>
    <w:rsid w:val="000B09DC"/>
    <w:rsid w:val="000C1DBC"/>
    <w:rsid w:val="0010532C"/>
    <w:rsid w:val="0014133E"/>
    <w:rsid w:val="00184012"/>
    <w:rsid w:val="002265FE"/>
    <w:rsid w:val="00230B8F"/>
    <w:rsid w:val="00230CD5"/>
    <w:rsid w:val="00231E44"/>
    <w:rsid w:val="00232167"/>
    <w:rsid w:val="00244849"/>
    <w:rsid w:val="00267552"/>
    <w:rsid w:val="002A5305"/>
    <w:rsid w:val="002C5661"/>
    <w:rsid w:val="002D1A83"/>
    <w:rsid w:val="002E2DA7"/>
    <w:rsid w:val="0030203C"/>
    <w:rsid w:val="00305823"/>
    <w:rsid w:val="00313E9E"/>
    <w:rsid w:val="0032308D"/>
    <w:rsid w:val="00341591"/>
    <w:rsid w:val="003668CB"/>
    <w:rsid w:val="00367DB1"/>
    <w:rsid w:val="00391063"/>
    <w:rsid w:val="003B1B32"/>
    <w:rsid w:val="003C6DA7"/>
    <w:rsid w:val="00404306"/>
    <w:rsid w:val="00427FD0"/>
    <w:rsid w:val="00433278"/>
    <w:rsid w:val="00450831"/>
    <w:rsid w:val="00451A80"/>
    <w:rsid w:val="0045209C"/>
    <w:rsid w:val="00460883"/>
    <w:rsid w:val="004970A1"/>
    <w:rsid w:val="004C2926"/>
    <w:rsid w:val="004C5E63"/>
    <w:rsid w:val="004E2B9B"/>
    <w:rsid w:val="004E5EA5"/>
    <w:rsid w:val="00513407"/>
    <w:rsid w:val="0053388B"/>
    <w:rsid w:val="00546FDB"/>
    <w:rsid w:val="005628D3"/>
    <w:rsid w:val="00586E1A"/>
    <w:rsid w:val="00593F0B"/>
    <w:rsid w:val="005D62AE"/>
    <w:rsid w:val="005E1D97"/>
    <w:rsid w:val="005E3016"/>
    <w:rsid w:val="00612726"/>
    <w:rsid w:val="00653E40"/>
    <w:rsid w:val="0065770D"/>
    <w:rsid w:val="00665934"/>
    <w:rsid w:val="00674C56"/>
    <w:rsid w:val="006B4505"/>
    <w:rsid w:val="006C0A14"/>
    <w:rsid w:val="006E0BD5"/>
    <w:rsid w:val="006E5A60"/>
    <w:rsid w:val="00716186"/>
    <w:rsid w:val="007328FE"/>
    <w:rsid w:val="007533CA"/>
    <w:rsid w:val="00755DE6"/>
    <w:rsid w:val="007562A9"/>
    <w:rsid w:val="0079042A"/>
    <w:rsid w:val="007B2FAD"/>
    <w:rsid w:val="008606BE"/>
    <w:rsid w:val="00864054"/>
    <w:rsid w:val="00895BBD"/>
    <w:rsid w:val="008B586D"/>
    <w:rsid w:val="008B7999"/>
    <w:rsid w:val="00925E7F"/>
    <w:rsid w:val="00931B6B"/>
    <w:rsid w:val="009426ED"/>
    <w:rsid w:val="00950090"/>
    <w:rsid w:val="0097621A"/>
    <w:rsid w:val="00987C10"/>
    <w:rsid w:val="00995C91"/>
    <w:rsid w:val="00997B10"/>
    <w:rsid w:val="009D1CC8"/>
    <w:rsid w:val="009D74E3"/>
    <w:rsid w:val="009E3A66"/>
    <w:rsid w:val="009F0F27"/>
    <w:rsid w:val="00A11981"/>
    <w:rsid w:val="00A323B8"/>
    <w:rsid w:val="00A6774D"/>
    <w:rsid w:val="00A71D0D"/>
    <w:rsid w:val="00A82198"/>
    <w:rsid w:val="00A91D80"/>
    <w:rsid w:val="00AA1F7F"/>
    <w:rsid w:val="00AE21D1"/>
    <w:rsid w:val="00AE3CA2"/>
    <w:rsid w:val="00AE50EC"/>
    <w:rsid w:val="00AF1532"/>
    <w:rsid w:val="00B46183"/>
    <w:rsid w:val="00B51BCA"/>
    <w:rsid w:val="00B675EA"/>
    <w:rsid w:val="00B75408"/>
    <w:rsid w:val="00B95C9B"/>
    <w:rsid w:val="00BE365E"/>
    <w:rsid w:val="00BF319A"/>
    <w:rsid w:val="00C145EF"/>
    <w:rsid w:val="00C169EF"/>
    <w:rsid w:val="00C31A70"/>
    <w:rsid w:val="00C42ABB"/>
    <w:rsid w:val="00C54E3F"/>
    <w:rsid w:val="00C72EFC"/>
    <w:rsid w:val="00C74F4A"/>
    <w:rsid w:val="00C81135"/>
    <w:rsid w:val="00C94C6A"/>
    <w:rsid w:val="00CB224A"/>
    <w:rsid w:val="00CC0EAC"/>
    <w:rsid w:val="00D04780"/>
    <w:rsid w:val="00D17181"/>
    <w:rsid w:val="00D42026"/>
    <w:rsid w:val="00D45182"/>
    <w:rsid w:val="00D513C2"/>
    <w:rsid w:val="00D63E61"/>
    <w:rsid w:val="00D81199"/>
    <w:rsid w:val="00D87973"/>
    <w:rsid w:val="00DA0F37"/>
    <w:rsid w:val="00DC0E1A"/>
    <w:rsid w:val="00DD2B2F"/>
    <w:rsid w:val="00DE0F9A"/>
    <w:rsid w:val="00E127A0"/>
    <w:rsid w:val="00E12FDD"/>
    <w:rsid w:val="00E233D9"/>
    <w:rsid w:val="00E25CB8"/>
    <w:rsid w:val="00E3140D"/>
    <w:rsid w:val="00E32222"/>
    <w:rsid w:val="00E41A02"/>
    <w:rsid w:val="00E70191"/>
    <w:rsid w:val="00E7044B"/>
    <w:rsid w:val="00E767DD"/>
    <w:rsid w:val="00E82E23"/>
    <w:rsid w:val="00EA4E3B"/>
    <w:rsid w:val="00ED379E"/>
    <w:rsid w:val="00F26538"/>
    <w:rsid w:val="00F26C03"/>
    <w:rsid w:val="00F31DB1"/>
    <w:rsid w:val="00F679B6"/>
    <w:rsid w:val="00F71A49"/>
    <w:rsid w:val="00F74FD5"/>
    <w:rsid w:val="00FA3827"/>
    <w:rsid w:val="00FE3A15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3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3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51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A1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13407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023C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3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88B"/>
  </w:style>
  <w:style w:type="paragraph" w:styleId="Sidefod">
    <w:name w:val="footer"/>
    <w:basedOn w:val="Normal"/>
    <w:link w:val="SidefodTegn"/>
    <w:uiPriority w:val="99"/>
    <w:unhideWhenUsed/>
    <w:rsid w:val="0053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388B"/>
  </w:style>
  <w:style w:type="character" w:customStyle="1" w:styleId="Overskrift2Tegn">
    <w:name w:val="Overskrift 2 Tegn"/>
    <w:basedOn w:val="Standardskrifttypeiafsnit"/>
    <w:link w:val="Overskrift2"/>
    <w:uiPriority w:val="9"/>
    <w:rsid w:val="0053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33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3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3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33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33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53388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31B6B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51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3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3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51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A1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13407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023CB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3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388B"/>
  </w:style>
  <w:style w:type="paragraph" w:styleId="Sidefod">
    <w:name w:val="footer"/>
    <w:basedOn w:val="Normal"/>
    <w:link w:val="SidefodTegn"/>
    <w:uiPriority w:val="99"/>
    <w:unhideWhenUsed/>
    <w:rsid w:val="0053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388B"/>
  </w:style>
  <w:style w:type="character" w:customStyle="1" w:styleId="Overskrift2Tegn">
    <w:name w:val="Overskrift 2 Tegn"/>
    <w:basedOn w:val="Standardskrifttypeiafsnit"/>
    <w:link w:val="Overskrift2"/>
    <w:uiPriority w:val="9"/>
    <w:rsid w:val="0053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33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3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38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33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33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53388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31B6B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51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oe-strategi.cowi.webhouse.dk/dk/planstrategi/samsoe_som_fossilfri_oe/" TargetMode="External"/><Relationship Id="rId13" Type="http://schemas.openxmlformats.org/officeDocument/2006/relationships/hyperlink" Target="http://www.key2green.dk/n%C3%B8gletal-fyringsolie-tr%C3%A6-og-hal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erginet.dk/DA/KLIMA-OG-MILJOE/Miljoedeklarationer/Sider/Miljoedeklarering-af-1-kWh-e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-energianalyse.dk/reports/1047_personbilers_co2_emissioner.pdf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ATAmappe\CO2%20regnskab%20-%20Sams&#248;%20Kommune%202013.opdater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ATAmappe\CO2%20regnskab%20-%20Sams&#248;%20Kommune%202013.opdater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ATAmappe\CO2%20regnskab%20-%20Sams&#248;%20Kommune%202013.opdater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n%20klimakmmune\CO2%20regnskab%20-%20Sams&#248;%20Kommune%202013.opdater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n%20klimakmmune\CO2%20regnskab%20-%20Sams&#248;%20Kommune%202013.opdater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KCL100265\auuvk$\Dokumenter\Uffe\dn%20klimakmmune\CO2%20regnskab%20-%20Sams&#248;%20Kommune%202013.opdater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Elforbrug for bygninger+vejbelysning</c:v>
          </c:tx>
          <c:invertIfNegative val="0"/>
          <c:trendline>
            <c:trendlineType val="linear"/>
            <c:dispRSqr val="0"/>
            <c:dispEq val="0"/>
          </c:trendline>
          <c:cat>
            <c:numRef>
              <c:f>'Regnskab 07-09'!$E$3:$J$3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'Regnskab 07-09'!$E$4:$J$4</c:f>
              <c:numCache>
                <c:formatCode>#,###\ "MWh"</c:formatCode>
                <c:ptCount val="6"/>
                <c:pt idx="0">
                  <c:v>853.56299999999999</c:v>
                </c:pt>
                <c:pt idx="1">
                  <c:v>833.351</c:v>
                </c:pt>
                <c:pt idx="2">
                  <c:v>794.02800000000002</c:v>
                </c:pt>
                <c:pt idx="3">
                  <c:v>631.75</c:v>
                </c:pt>
                <c:pt idx="4">
                  <c:v>687.17130000000009</c:v>
                </c:pt>
                <c:pt idx="5">
                  <c:v>662.72900000000004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2640"/>
        <c:axId val="69394432"/>
      </c:barChart>
      <c:catAx>
        <c:axId val="6939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94432"/>
        <c:crosses val="autoZero"/>
        <c:auto val="1"/>
        <c:lblAlgn val="ctr"/>
        <c:lblOffset val="100"/>
        <c:noMultiLvlLbl val="0"/>
      </c:catAx>
      <c:valAx>
        <c:axId val="69394432"/>
        <c:scaling>
          <c:orientation val="minMax"/>
        </c:scaling>
        <c:delete val="0"/>
        <c:axPos val="l"/>
        <c:majorGridlines/>
        <c:numFmt formatCode="#,###\ &quot;MWh&quot;" sourceLinked="1"/>
        <c:majorTickMark val="out"/>
        <c:minorTickMark val="none"/>
        <c:tickLblPos val="nextTo"/>
        <c:crossAx val="69392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Ton CO2 ved elforbrug</c:v>
          </c:tx>
          <c:spPr>
            <a:solidFill>
              <a:schemeClr val="tx1"/>
            </a:solidFill>
            <a:effectLst/>
          </c:spPr>
          <c:invertIfNegative val="0"/>
          <c:trendline>
            <c:trendlineType val="linear"/>
            <c:dispRSqr val="0"/>
            <c:dispEq val="0"/>
          </c:trendline>
          <c:cat>
            <c:numRef>
              <c:f>'Regnskab 07-09'!$D$3:$J$3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'Regnskab 07-09'!$D$5:$J$5</c:f>
              <c:numCache>
                <c:formatCode>#,###\ "Ton"</c:formatCode>
                <c:ptCount val="6"/>
                <c:pt idx="0">
                  <c:v>383.24978700000003</c:v>
                </c:pt>
                <c:pt idx="1">
                  <c:v>365.00773800000002</c:v>
                </c:pt>
                <c:pt idx="2">
                  <c:v>338.25592800000004</c:v>
                </c:pt>
                <c:pt idx="3">
                  <c:v>226.79825</c:v>
                </c:pt>
                <c:pt idx="4">
                  <c:v>197.90533440000002</c:v>
                </c:pt>
                <c:pt idx="5">
                  <c:v>237.25698200000002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98720"/>
        <c:axId val="70400256"/>
      </c:barChart>
      <c:catAx>
        <c:axId val="7039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00256"/>
        <c:crosses val="autoZero"/>
        <c:auto val="1"/>
        <c:lblAlgn val="ctr"/>
        <c:lblOffset val="100"/>
        <c:noMultiLvlLbl val="0"/>
      </c:catAx>
      <c:valAx>
        <c:axId val="70400256"/>
        <c:scaling>
          <c:orientation val="minMax"/>
        </c:scaling>
        <c:delete val="0"/>
        <c:axPos val="l"/>
        <c:majorGridlines/>
        <c:numFmt formatCode="#,###\ &quot;Ton&quot;" sourceLinked="1"/>
        <c:majorTickMark val="out"/>
        <c:minorTickMark val="none"/>
        <c:tickLblPos val="nextTo"/>
        <c:crossAx val="70398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Fyringsolie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'Regnskab 07-09'!$A$72</c:f>
              <c:strCache>
                <c:ptCount val="1"/>
                <c:pt idx="0">
                  <c:v>Fyringsolie i ton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trendline>
            <c:trendlineType val="linear"/>
            <c:dispRSqr val="0"/>
            <c:dispEq val="0"/>
          </c:trendline>
          <c:cat>
            <c:numRef>
              <c:f>'Regnskab 07-09'!$E$70:$I$70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'Regnskab 07-09'!$E$72:$I$72</c:f>
              <c:numCache>
                <c:formatCode>General</c:formatCode>
                <c:ptCount val="5"/>
                <c:pt idx="0">
                  <c:v>3.8785899999999995</c:v>
                </c:pt>
                <c:pt idx="1">
                  <c:v>4.6969699999999994</c:v>
                </c:pt>
                <c:pt idx="2">
                  <c:v>3.3033999999999994</c:v>
                </c:pt>
                <c:pt idx="3">
                  <c:v>3.3033999999999994</c:v>
                </c:pt>
                <c:pt idx="4">
                  <c:v>1.8824399999999999</c:v>
                </c:pt>
              </c:numCache>
            </c:numRef>
          </c:val>
        </c:ser>
        <c:ser>
          <c:idx val="4"/>
          <c:order val="1"/>
          <c:tx>
            <c:strRef>
              <c:f>'Regnskab 07-09'!$A$74</c:f>
              <c:strCache>
                <c:ptCount val="1"/>
                <c:pt idx="0">
                  <c:v>CO2 emissioner i ton</c:v>
                </c:pt>
              </c:strCache>
            </c:strRef>
          </c:tx>
          <c:spPr>
            <a:solidFill>
              <a:schemeClr val="bg2">
                <a:lumMod val="10000"/>
              </a:schemeClr>
            </a:solidFill>
          </c:spPr>
          <c:invertIfNegative val="0"/>
          <c:cat>
            <c:numRef>
              <c:f>'Regnskab 07-09'!$E$70:$I$70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'Regnskab 07-09'!$E$74:$I$74</c:f>
              <c:numCache>
                <c:formatCode>General</c:formatCode>
                <c:ptCount val="5"/>
                <c:pt idx="0">
                  <c:v>12.383449999999998</c:v>
                </c:pt>
                <c:pt idx="1">
                  <c:v>14.99635</c:v>
                </c:pt>
                <c:pt idx="2">
                  <c:v>10.547000000000001</c:v>
                </c:pt>
                <c:pt idx="3">
                  <c:v>10.547000000000001</c:v>
                </c:pt>
                <c:pt idx="4">
                  <c:v>6.0102000000000002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47104"/>
        <c:axId val="70448640"/>
      </c:barChart>
      <c:catAx>
        <c:axId val="704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448640"/>
        <c:crosses val="autoZero"/>
        <c:auto val="1"/>
        <c:lblAlgn val="ctr"/>
        <c:lblOffset val="100"/>
        <c:noMultiLvlLbl val="0"/>
      </c:catAx>
      <c:valAx>
        <c:axId val="70448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447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CO2</a:t>
            </a:r>
            <a:r>
              <a:rPr lang="da-DK" baseline="0"/>
              <a:t> udledning fra transport</a:t>
            </a:r>
            <a:endParaRPr lang="da-DK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Brændstof!$A$61</c:f>
              <c:strCache>
                <c:ptCount val="1"/>
                <c:pt idx="0">
                  <c:v>Diesel (2,65 kg CO2/l)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cat>
            <c:numRef>
              <c:f>Brændstof!$F$47:$H$47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Brændstof!$F$61:$H$61</c:f>
              <c:numCache>
                <c:formatCode>#,##0</c:formatCode>
                <c:ptCount val="3"/>
                <c:pt idx="0">
                  <c:v>32.285586000000002</c:v>
                </c:pt>
                <c:pt idx="1">
                  <c:v>32.285586000000002</c:v>
                </c:pt>
                <c:pt idx="2">
                  <c:v>78.060361</c:v>
                </c:pt>
              </c:numCache>
            </c:numRef>
          </c:val>
        </c:ser>
        <c:ser>
          <c:idx val="3"/>
          <c:order val="1"/>
          <c:tx>
            <c:strRef>
              <c:f>Brændstof!$A$62</c:f>
              <c:strCache>
                <c:ptCount val="1"/>
                <c:pt idx="0">
                  <c:v>Benzin (2,47 kg CO2/l)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Brændstof!$F$47:$H$47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Brændstof!$F$62:$H$62</c:f>
              <c:numCache>
                <c:formatCode>#,##0</c:formatCode>
                <c:ptCount val="3"/>
                <c:pt idx="0">
                  <c:v>5.5558945</c:v>
                </c:pt>
                <c:pt idx="1">
                  <c:v>7.2332468000000008</c:v>
                </c:pt>
                <c:pt idx="2">
                  <c:v>42.255796700000005</c:v>
                </c:pt>
              </c:numCache>
            </c:numRef>
          </c:val>
        </c:ser>
        <c:ser>
          <c:idx val="4"/>
          <c:order val="2"/>
          <c:tx>
            <c:strRef>
              <c:f>Brændstof!$A$63</c:f>
              <c:strCache>
                <c:ptCount val="1"/>
                <c:pt idx="0">
                  <c:v>i Egen bil (2,57 kg CO2/l)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Brændstof!$F$47:$H$47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Brændstof!$F$63:$H$63</c:f>
              <c:numCache>
                <c:formatCode>#,##0</c:formatCode>
                <c:ptCount val="3"/>
                <c:pt idx="0">
                  <c:v>27.354394666666668</c:v>
                </c:pt>
                <c:pt idx="1">
                  <c:v>30.229464374999999</c:v>
                </c:pt>
                <c:pt idx="2">
                  <c:v>28.760870000000001</c:v>
                </c:pt>
              </c:numCache>
            </c:numRef>
          </c:val>
        </c:ser>
        <c:ser>
          <c:idx val="5"/>
          <c:order val="3"/>
          <c:tx>
            <c:strRef>
              <c:f>Brændstof!$A$64</c:f>
              <c:strCache>
                <c:ptCount val="1"/>
                <c:pt idx="0">
                  <c:v>elbiler (127,5 g CO2/km)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numRef>
              <c:f>Brændstof!$F$47:$H$47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Brændstof!$F$64:$H$64</c:f>
              <c:numCache>
                <c:formatCode>#,##0</c:formatCode>
                <c:ptCount val="3"/>
                <c:pt idx="1">
                  <c:v>20.415682499999999</c:v>
                </c:pt>
                <c:pt idx="2">
                  <c:v>19.1406825</c:v>
                </c:pt>
              </c:numCache>
            </c:numRef>
          </c:val>
        </c:ser>
        <c:ser>
          <c:idx val="6"/>
          <c:order val="4"/>
          <c:tx>
            <c:strRef>
              <c:f>Brændstof!$A$65</c:f>
              <c:strCache>
                <c:ptCount val="1"/>
                <c:pt idx="0">
                  <c:v>i alt 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</c:spPr>
          <c:invertIfNegative val="0"/>
          <c:trendline>
            <c:trendlineType val="linear"/>
            <c:dispRSqr val="0"/>
            <c:dispEq val="0"/>
          </c:trendline>
          <c:cat>
            <c:numRef>
              <c:f>Brændstof!$F$47:$H$47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Brændstof!$F$65:$H$65</c:f>
              <c:numCache>
                <c:formatCode>#,##0</c:formatCode>
                <c:ptCount val="3"/>
                <c:pt idx="0">
                  <c:v>65.195875166666667</c:v>
                </c:pt>
                <c:pt idx="1">
                  <c:v>90.163979675000007</c:v>
                </c:pt>
                <c:pt idx="2">
                  <c:v>168.2177102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63712"/>
        <c:axId val="70565248"/>
      </c:barChart>
      <c:catAx>
        <c:axId val="7056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565248"/>
        <c:crosses val="autoZero"/>
        <c:auto val="1"/>
        <c:lblAlgn val="ctr"/>
        <c:lblOffset val="100"/>
        <c:noMultiLvlLbl val="0"/>
      </c:catAx>
      <c:valAx>
        <c:axId val="705652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056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Samlet</a:t>
            </a:r>
            <a:r>
              <a:rPr lang="da-DK" baseline="0"/>
              <a:t> CO2 udledning i tons </a:t>
            </a:r>
            <a:endParaRPr lang="da-DK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'Ark1'!$B$6</c:f>
              <c:strCache>
                <c:ptCount val="1"/>
                <c:pt idx="0">
                  <c:v>El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numRef>
              <c:f>'Ark1'!$D$4:$F$4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'Ark1'!$D$6:$F$6</c:f>
              <c:numCache>
                <c:formatCode>General</c:formatCode>
                <c:ptCount val="3"/>
                <c:pt idx="0">
                  <c:v>227</c:v>
                </c:pt>
                <c:pt idx="1">
                  <c:v>198</c:v>
                </c:pt>
                <c:pt idx="2">
                  <c:v>237</c:v>
                </c:pt>
              </c:numCache>
            </c:numRef>
          </c:val>
        </c:ser>
        <c:ser>
          <c:idx val="3"/>
          <c:order val="1"/>
          <c:tx>
            <c:strRef>
              <c:f>'Ark1'!$B$7</c:f>
              <c:strCache>
                <c:ptCount val="1"/>
                <c:pt idx="0">
                  <c:v>VE-elproduktion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'Ark1'!$D$4:$F$4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'Ark1'!$D$7:$F$7</c:f>
              <c:numCache>
                <c:formatCode>General</c:formatCode>
                <c:ptCount val="3"/>
                <c:pt idx="0">
                  <c:v>0</c:v>
                </c:pt>
                <c:pt idx="1">
                  <c:v>-9</c:v>
                </c:pt>
                <c:pt idx="2">
                  <c:v>-12</c:v>
                </c:pt>
              </c:numCache>
            </c:numRef>
          </c:val>
        </c:ser>
        <c:ser>
          <c:idx val="1"/>
          <c:order val="2"/>
          <c:tx>
            <c:strRef>
              <c:f>'Ark1'!$B$5</c:f>
              <c:strCache>
                <c:ptCount val="1"/>
                <c:pt idx="0">
                  <c:v>Transport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'Ark1'!$D$4:$F$4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'Ark1'!$D$5:$F$5</c:f>
              <c:numCache>
                <c:formatCode>General</c:formatCode>
                <c:ptCount val="3"/>
                <c:pt idx="0">
                  <c:v>65</c:v>
                </c:pt>
                <c:pt idx="1">
                  <c:v>90</c:v>
                </c:pt>
                <c:pt idx="2">
                  <c:v>168</c:v>
                </c:pt>
              </c:numCache>
            </c:numRef>
          </c:val>
        </c:ser>
        <c:ser>
          <c:idx val="0"/>
          <c:order val="3"/>
          <c:tx>
            <c:strRef>
              <c:f>'Ark1'!$B$8</c:f>
              <c:strCache>
                <c:ptCount val="1"/>
                <c:pt idx="0">
                  <c:v>Fyringsolie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'Ark1'!$D$4:$F$4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'Ark1'!$D$8:$F$8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621056"/>
        <c:axId val="70622592"/>
      </c:barChart>
      <c:catAx>
        <c:axId val="7062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622592"/>
        <c:crosses val="autoZero"/>
        <c:auto val="1"/>
        <c:lblAlgn val="ctr"/>
        <c:lblOffset val="100"/>
        <c:noMultiLvlLbl val="0"/>
      </c:catAx>
      <c:valAx>
        <c:axId val="7062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621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Samlet CO2 udledning i tons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'Ark1'!$B$21</c:f>
              <c:strCache>
                <c:ptCount val="1"/>
                <c:pt idx="0">
                  <c:v>VE-elproduktion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'Ark1'!$E$18:$F$18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'Ark1'!$E$21:$F$21</c:f>
              <c:numCache>
                <c:formatCode>General</c:formatCode>
                <c:ptCount val="2"/>
                <c:pt idx="0">
                  <c:v>-11</c:v>
                </c:pt>
                <c:pt idx="1">
                  <c:v>-12</c:v>
                </c:pt>
              </c:numCache>
            </c:numRef>
          </c:val>
        </c:ser>
        <c:ser>
          <c:idx val="1"/>
          <c:order val="1"/>
          <c:tx>
            <c:strRef>
              <c:f>'Ark1'!$B$20</c:f>
              <c:strCache>
                <c:ptCount val="1"/>
                <c:pt idx="0">
                  <c:v>El (358 g/kWh)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numRef>
              <c:f>'Ark1'!$E$18:$F$18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'Ark1'!$E$20:$F$20</c:f>
              <c:numCache>
                <c:formatCode>General</c:formatCode>
                <c:ptCount val="2"/>
                <c:pt idx="0">
                  <c:v>246</c:v>
                </c:pt>
                <c:pt idx="1">
                  <c:v>237</c:v>
                </c:pt>
              </c:numCache>
            </c:numRef>
          </c:val>
        </c:ser>
        <c:ser>
          <c:idx val="0"/>
          <c:order val="2"/>
          <c:tx>
            <c:strRef>
              <c:f>'Ark1'!$B$19</c:f>
              <c:strCache>
                <c:ptCount val="1"/>
                <c:pt idx="0">
                  <c:v>Transport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numRef>
              <c:f>'Ark1'!$E$18:$F$18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'Ark1'!$E$19:$F$19</c:f>
              <c:numCache>
                <c:formatCode>General</c:formatCode>
                <c:ptCount val="2"/>
                <c:pt idx="0">
                  <c:v>90</c:v>
                </c:pt>
                <c:pt idx="1">
                  <c:v>168</c:v>
                </c:pt>
              </c:numCache>
            </c:numRef>
          </c:val>
        </c:ser>
        <c:ser>
          <c:idx val="3"/>
          <c:order val="3"/>
          <c:tx>
            <c:strRef>
              <c:f>'Ark1'!$B$22</c:f>
              <c:strCache>
                <c:ptCount val="1"/>
                <c:pt idx="0">
                  <c:v>Fyringsolie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'Ark1'!$E$18:$F$18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'Ark1'!$E$22:$F$22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1264512"/>
        <c:axId val="71315456"/>
      </c:barChart>
      <c:catAx>
        <c:axId val="7126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315456"/>
        <c:crosses val="autoZero"/>
        <c:auto val="1"/>
        <c:lblAlgn val="ctr"/>
        <c:lblOffset val="100"/>
        <c:noMultiLvlLbl val="0"/>
      </c:catAx>
      <c:valAx>
        <c:axId val="71315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264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Vinther Kristensen</dc:creator>
  <cp:lastModifiedBy>Uffe Vinther Kristensen</cp:lastModifiedBy>
  <cp:revision>2</cp:revision>
  <cp:lastPrinted>2015-04-14T10:33:00Z</cp:lastPrinted>
  <dcterms:created xsi:type="dcterms:W3CDTF">2015-04-14T11:29:00Z</dcterms:created>
  <dcterms:modified xsi:type="dcterms:W3CDTF">2015-04-14T11:29:00Z</dcterms:modified>
</cp:coreProperties>
</file>